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20" w:line="264" w:lineRule="auto"/>
        <w:jc w:val="center"/>
        <w:rPr>
          <w:rFonts w:ascii="黑体" w:hAnsi="黑体" w:eastAsia="黑体" w:cs="Arial"/>
          <w:b/>
          <w:bCs/>
          <w:color w:val="000000"/>
          <w:kern w:val="0"/>
          <w:sz w:val="28"/>
          <w:szCs w:val="36"/>
        </w:rPr>
      </w:pPr>
      <w:r>
        <w:rPr>
          <w:rFonts w:hint="eastAsia" w:ascii="黑体" w:hAnsi="黑体" w:eastAsia="黑体" w:cs="Arial"/>
          <w:b/>
          <w:bCs/>
          <w:color w:val="000000"/>
          <w:sz w:val="28"/>
          <w:szCs w:val="28"/>
          <w:shd w:val="clear" w:color="auto" w:fill="FFFFFF"/>
        </w:rPr>
        <w:t>【学术前沿动态】</w:t>
      </w:r>
      <w:r>
        <w:rPr>
          <w:rFonts w:ascii="黑体" w:hAnsi="黑体" w:eastAsia="黑体" w:cs="Arial"/>
          <w:b/>
          <w:bCs/>
          <w:color w:val="000000"/>
          <w:kern w:val="0"/>
          <w:sz w:val="28"/>
          <w:szCs w:val="36"/>
        </w:rPr>
        <w:t>2022</w:t>
      </w:r>
      <w:r>
        <w:rPr>
          <w:rFonts w:hint="eastAsia" w:ascii="黑体" w:hAnsi="黑体" w:eastAsia="黑体" w:cs="Arial"/>
          <w:b/>
          <w:bCs/>
          <w:color w:val="000000"/>
          <w:kern w:val="0"/>
          <w:sz w:val="28"/>
          <w:szCs w:val="36"/>
        </w:rPr>
        <w:t>年诺贝尔化学奖相关论文分析</w:t>
      </w:r>
    </w:p>
    <w:p>
      <w:pPr>
        <w:widowControl/>
        <w:shd w:val="clear" w:color="auto" w:fill="FFFFFF"/>
        <w:spacing w:after="156" w:line="400" w:lineRule="atLeast"/>
        <w:ind w:firstLine="480" w:firstLineChars="200"/>
        <w:jc w:val="left"/>
        <w:rPr>
          <w:rFonts w:ascii="Times New Roman" w:hAnsi="Times New Roman" w:eastAsia="宋体" w:cs="宋体"/>
          <w:color w:val="000000"/>
          <w:kern w:val="0"/>
          <w:sz w:val="24"/>
          <w:szCs w:val="24"/>
        </w:rPr>
      </w:pPr>
      <w:r>
        <w:rPr>
          <w:rFonts w:ascii="Times New Roman" w:hAnsi="Times New Roman" w:eastAsia="宋体" w:cs="宋体"/>
          <w:color w:val="000000"/>
          <w:kern w:val="0"/>
          <w:sz w:val="24"/>
          <w:szCs w:val="24"/>
        </w:rPr>
        <w:t>2022</w:t>
      </w:r>
      <w:r>
        <w:rPr>
          <w:rFonts w:hint="eastAsia" w:ascii="Times New Roman" w:hAnsi="Times New Roman" w:eastAsia="宋体" w:cs="宋体"/>
          <w:color w:val="000000"/>
          <w:kern w:val="0"/>
          <w:sz w:val="24"/>
          <w:szCs w:val="24"/>
        </w:rPr>
        <w:t>年诺贝尔化学奖被授予美国化学家罗琳·贝尔托齐（Carolyn R. Bertozzi）、丹麦化学家摩顿·梅尔达尔(</w:t>
      </w:r>
      <w:r>
        <w:rPr>
          <w:rFonts w:ascii="Times New Roman" w:hAnsi="Times New Roman" w:eastAsia="宋体" w:cs="宋体"/>
          <w:color w:val="000000"/>
          <w:kern w:val="0"/>
          <w:sz w:val="24"/>
          <w:szCs w:val="24"/>
        </w:rPr>
        <w:t>Morten Meldal)</w:t>
      </w:r>
      <w:r>
        <w:rPr>
          <w:rFonts w:hint="eastAsia" w:ascii="Times New Roman" w:hAnsi="Times New Roman" w:eastAsia="宋体" w:cs="宋体"/>
          <w:color w:val="000000"/>
          <w:kern w:val="0"/>
          <w:sz w:val="24"/>
          <w:szCs w:val="24"/>
        </w:rPr>
        <w:t>、美国化学家卡尔·巴里·夏普利斯(</w:t>
      </w:r>
      <w:r>
        <w:rPr>
          <w:rFonts w:ascii="Times New Roman" w:hAnsi="Times New Roman" w:eastAsia="宋体" w:cs="宋体"/>
          <w:color w:val="000000"/>
          <w:kern w:val="0"/>
          <w:sz w:val="24"/>
          <w:szCs w:val="24"/>
        </w:rPr>
        <w:t>K. Barry Sharpless)</w:t>
      </w:r>
      <w:r>
        <w:rPr>
          <w:rFonts w:hint="eastAsia" w:ascii="Times New Roman" w:hAnsi="Times New Roman" w:eastAsia="宋体" w:cs="宋体"/>
          <w:color w:val="000000"/>
          <w:kern w:val="0"/>
          <w:sz w:val="24"/>
          <w:szCs w:val="24"/>
        </w:rPr>
        <w:t>，以表彰他们在</w:t>
      </w:r>
      <w:r>
        <w:rPr>
          <w:rFonts w:ascii="Times New Roman" w:hAnsi="Times New Roman" w:eastAsia="宋体" w:cs="Times New Roman"/>
          <w:color w:val="000000"/>
          <w:kern w:val="0"/>
          <w:sz w:val="24"/>
          <w:szCs w:val="24"/>
        </w:rPr>
        <w:t>“</w:t>
      </w:r>
      <w:r>
        <w:rPr>
          <w:rFonts w:hint="eastAsia" w:ascii="Times New Roman" w:hAnsi="Times New Roman" w:eastAsia="宋体" w:cs="宋体"/>
          <w:color w:val="000000"/>
          <w:kern w:val="0"/>
          <w:sz w:val="24"/>
          <w:szCs w:val="24"/>
        </w:rPr>
        <w:t>点击化学和生物正交化学”领域作出的贡献。以下对三位诺奖得主的相关主题学术论文和相关施引文献展开分析。</w:t>
      </w:r>
    </w:p>
    <w:p>
      <w:pPr>
        <w:widowControl/>
        <w:shd w:val="clear" w:color="auto" w:fill="FFFFFF"/>
        <w:spacing w:line="400" w:lineRule="atLeast"/>
        <w:jc w:val="left"/>
        <w:rPr>
          <w:rFonts w:ascii="Times New Roman" w:hAnsi="Times New Roman" w:eastAsia="宋体" w:cs="宋体"/>
          <w:b/>
          <w:bCs/>
          <w:color w:val="000000"/>
          <w:kern w:val="0"/>
          <w:sz w:val="24"/>
          <w:szCs w:val="24"/>
        </w:rPr>
      </w:pPr>
      <w:r>
        <w:rPr>
          <w:rStyle w:val="11"/>
          <w:rFonts w:hint="eastAsia"/>
          <w:color w:val="000000"/>
          <w:sz w:val="24"/>
          <w:szCs w:val="24"/>
          <w:shd w:val="clear" w:color="auto" w:fill="FFFFFF"/>
        </w:rPr>
        <w:t>一、获奖者的发文分析</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三位获奖者相关主题的</w:t>
      </w:r>
      <w:r>
        <w:rPr>
          <w:rFonts w:ascii="Times New Roman" w:hAnsi="Times New Roman" w:eastAsia="宋体" w:cs="宋体"/>
          <w:color w:val="000000"/>
          <w:kern w:val="0"/>
          <w:sz w:val="24"/>
          <w:szCs w:val="24"/>
        </w:rPr>
        <w:t>SCIE</w:t>
      </w:r>
      <w:r>
        <w:rPr>
          <w:rFonts w:hint="eastAsia" w:ascii="Times New Roman" w:hAnsi="Times New Roman" w:eastAsia="宋体" w:cs="宋体"/>
          <w:color w:val="000000"/>
          <w:kern w:val="0"/>
          <w:sz w:val="24"/>
          <w:szCs w:val="24"/>
        </w:rPr>
        <w:t>论文有</w:t>
      </w:r>
      <w:r>
        <w:rPr>
          <w:rFonts w:ascii="Times New Roman" w:hAnsi="Times New Roman" w:eastAsia="宋体" w:cs="宋体"/>
          <w:color w:val="000000"/>
          <w:kern w:val="0"/>
          <w:sz w:val="24"/>
          <w:szCs w:val="24"/>
        </w:rPr>
        <w:t>332</w:t>
      </w:r>
      <w:r>
        <w:rPr>
          <w:rFonts w:hint="eastAsia" w:ascii="Times New Roman" w:hAnsi="Times New Roman" w:eastAsia="宋体" w:cs="宋体"/>
          <w:color w:val="000000"/>
          <w:kern w:val="0"/>
          <w:sz w:val="24"/>
          <w:szCs w:val="24"/>
        </w:rPr>
        <w:t>篇，最早发文年限可追溯到</w:t>
      </w:r>
      <w:r>
        <w:rPr>
          <w:rFonts w:ascii="Times New Roman" w:hAnsi="Times New Roman" w:eastAsia="宋体" w:cs="宋体"/>
          <w:color w:val="000000"/>
          <w:kern w:val="0"/>
          <w:sz w:val="24"/>
          <w:szCs w:val="24"/>
        </w:rPr>
        <w:t>2000</w:t>
      </w:r>
      <w:r>
        <w:rPr>
          <w:rFonts w:hint="eastAsia" w:ascii="Times New Roman" w:hAnsi="Times New Roman" w:eastAsia="宋体" w:cs="宋体"/>
          <w:color w:val="000000"/>
          <w:kern w:val="0"/>
          <w:sz w:val="24"/>
          <w:szCs w:val="24"/>
        </w:rPr>
        <w:t>年，各年度发文分布如图</w:t>
      </w:r>
      <w:r>
        <w:rPr>
          <w:rFonts w:ascii="Times New Roman" w:hAnsi="Times New Roman" w:eastAsia="宋体" w:cs="宋体"/>
          <w:color w:val="000000"/>
          <w:kern w:val="0"/>
          <w:sz w:val="24"/>
          <w:szCs w:val="24"/>
        </w:rPr>
        <w:t>1</w:t>
      </w:r>
      <w:r>
        <w:rPr>
          <w:rFonts w:hint="eastAsia" w:ascii="Times New Roman" w:hAnsi="Times New Roman" w:eastAsia="宋体" w:cs="宋体"/>
          <w:color w:val="000000"/>
          <w:kern w:val="0"/>
          <w:sz w:val="24"/>
          <w:szCs w:val="24"/>
        </w:rPr>
        <w:t>所示。近</w:t>
      </w:r>
      <w:r>
        <w:rPr>
          <w:rFonts w:ascii="Times New Roman" w:hAnsi="Times New Roman" w:eastAsia="宋体" w:cs="宋体"/>
          <w:color w:val="000000"/>
          <w:kern w:val="0"/>
          <w:sz w:val="24"/>
          <w:szCs w:val="24"/>
        </w:rPr>
        <w:t>10</w:t>
      </w:r>
      <w:r>
        <w:rPr>
          <w:rFonts w:hint="eastAsia" w:ascii="Times New Roman" w:hAnsi="Times New Roman" w:eastAsia="宋体" w:cs="宋体"/>
          <w:color w:val="000000"/>
          <w:kern w:val="0"/>
          <w:sz w:val="24"/>
          <w:szCs w:val="24"/>
        </w:rPr>
        <w:t>年论文中，</w:t>
      </w:r>
      <w:r>
        <w:rPr>
          <w:rFonts w:ascii="Times New Roman" w:hAnsi="Times New Roman" w:eastAsia="宋体" w:cs="宋体"/>
          <w:color w:val="000000"/>
          <w:kern w:val="0"/>
          <w:sz w:val="24"/>
          <w:szCs w:val="24"/>
        </w:rPr>
        <w:t>ESI</w:t>
      </w:r>
      <w:r>
        <w:rPr>
          <w:rFonts w:hint="eastAsia" w:ascii="Times New Roman" w:hAnsi="Times New Roman" w:eastAsia="宋体" w:cs="宋体"/>
          <w:color w:val="000000"/>
          <w:kern w:val="0"/>
          <w:sz w:val="24"/>
          <w:szCs w:val="24"/>
        </w:rPr>
        <w:t>高被引论文1</w:t>
      </w:r>
      <w:r>
        <w:rPr>
          <w:rFonts w:ascii="Times New Roman" w:hAnsi="Times New Roman" w:eastAsia="宋体" w:cs="宋体"/>
          <w:color w:val="000000"/>
          <w:kern w:val="0"/>
          <w:sz w:val="24"/>
          <w:szCs w:val="24"/>
        </w:rPr>
        <w:t>5</w:t>
      </w:r>
      <w:r>
        <w:rPr>
          <w:rFonts w:hint="eastAsia" w:ascii="Times New Roman" w:hAnsi="Times New Roman" w:eastAsia="宋体" w:cs="宋体"/>
          <w:color w:val="000000"/>
          <w:kern w:val="0"/>
          <w:sz w:val="24"/>
          <w:szCs w:val="24"/>
        </w:rPr>
        <w:t>篇。</w:t>
      </w:r>
    </w:p>
    <w:p>
      <w:pPr>
        <w:widowControl/>
        <w:shd w:val="clear" w:color="auto" w:fill="FFFFFF"/>
        <w:spacing w:line="400" w:lineRule="atLeast"/>
        <w:jc w:val="center"/>
        <w:rPr>
          <w:rFonts w:ascii="Times New Roman" w:hAnsi="Times New Roman" w:eastAsia="楷体" w:cs="宋体"/>
          <w:color w:val="000000"/>
          <w:kern w:val="0"/>
          <w:szCs w:val="21"/>
        </w:rPr>
      </w:pPr>
      <w:r>
        <w:rPr>
          <w:rFonts w:ascii="Times New Roman" w:hAnsi="Times New Roman" w:eastAsia="楷体" w:cs="宋体"/>
          <w:color w:val="000000"/>
          <w:kern w:val="0"/>
          <w:szCs w:val="21"/>
        </w:rPr>
        <w:drawing>
          <wp:inline distT="0" distB="0" distL="0" distR="0">
            <wp:extent cx="5450205" cy="157289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50205" cy="1572895"/>
                    </a:xfrm>
                    <a:prstGeom prst="rect">
                      <a:avLst/>
                    </a:prstGeom>
                    <a:noFill/>
                  </pic:spPr>
                </pic:pic>
              </a:graphicData>
            </a:graphic>
          </wp:inline>
        </w:drawing>
      </w:r>
    </w:p>
    <w:p>
      <w:pPr>
        <w:widowControl/>
        <w:shd w:val="clear" w:color="auto" w:fill="FFFFFF"/>
        <w:spacing w:line="400" w:lineRule="atLeast"/>
        <w:ind w:firstLine="142"/>
        <w:jc w:val="center"/>
        <w:rPr>
          <w:rFonts w:ascii="Times New Roman" w:hAnsi="Times New Roman" w:eastAsia="楷体" w:cs="宋体"/>
          <w:color w:val="000000"/>
          <w:kern w:val="0"/>
          <w:szCs w:val="21"/>
        </w:rPr>
      </w:pPr>
      <w:r>
        <w:rPr>
          <w:rFonts w:hint="eastAsia" w:ascii="Times New Roman" w:hAnsi="Times New Roman" w:eastAsia="楷体" w:cs="宋体"/>
          <w:color w:val="000000"/>
          <w:kern w:val="0"/>
          <w:szCs w:val="21"/>
        </w:rPr>
        <w:t>图</w:t>
      </w:r>
      <w:r>
        <w:rPr>
          <w:rFonts w:ascii="Times New Roman" w:hAnsi="Times New Roman" w:eastAsia="楷体" w:cs="宋体"/>
          <w:color w:val="000000"/>
          <w:kern w:val="0"/>
          <w:szCs w:val="21"/>
        </w:rPr>
        <w:t xml:space="preserve">1 </w:t>
      </w:r>
      <w:r>
        <w:rPr>
          <w:rFonts w:hint="eastAsia" w:ascii="Times New Roman" w:hAnsi="Times New Roman" w:eastAsia="楷体" w:cs="宋体"/>
          <w:color w:val="000000"/>
          <w:kern w:val="0"/>
          <w:szCs w:val="21"/>
        </w:rPr>
        <w:t>诺贝尔化学奖获得者相关主题论文年度分布</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获奖者相关主题论文涉及化学多学科、生物化学</w:t>
      </w:r>
      <w:r>
        <w:rPr>
          <w:rFonts w:hint="eastAsia" w:ascii="Times New Roman" w:hAnsi="Times New Roman" w:eastAsia="宋体" w:cs="宋体"/>
          <w:color w:val="000000"/>
          <w:kern w:val="0"/>
          <w:sz w:val="24"/>
          <w:szCs w:val="24"/>
          <w:lang w:val="en-US" w:eastAsia="zh-Hans"/>
        </w:rPr>
        <w:t>与</w:t>
      </w:r>
      <w:r>
        <w:rPr>
          <w:rFonts w:hint="eastAsia" w:ascii="Times New Roman" w:hAnsi="Times New Roman" w:eastAsia="宋体" w:cs="宋体"/>
          <w:color w:val="000000"/>
          <w:kern w:val="0"/>
          <w:sz w:val="24"/>
          <w:szCs w:val="24"/>
        </w:rPr>
        <w:t>分子生物学和多学科科学等领域，论文分布于</w:t>
      </w:r>
      <w:r>
        <w:rPr>
          <w:rFonts w:ascii="Times New Roman" w:hAnsi="Times New Roman" w:eastAsia="宋体" w:cs="宋体"/>
          <w:color w:val="000000"/>
          <w:kern w:val="0"/>
          <w:sz w:val="24"/>
          <w:szCs w:val="24"/>
        </w:rPr>
        <w:t>109</w:t>
      </w:r>
      <w:r>
        <w:rPr>
          <w:rFonts w:hint="eastAsia" w:ascii="Times New Roman" w:hAnsi="Times New Roman" w:eastAsia="宋体" w:cs="宋体"/>
          <w:color w:val="000000"/>
          <w:kern w:val="0"/>
          <w:sz w:val="24"/>
          <w:szCs w:val="24"/>
        </w:rPr>
        <w:t>种期刊，其中</w:t>
      </w:r>
      <w:r>
        <w:rPr>
          <w:rFonts w:ascii="Times New Roman" w:hAnsi="Times New Roman" w:eastAsia="宋体" w:cs="宋体"/>
          <w:color w:val="000000"/>
          <w:kern w:val="0"/>
          <w:sz w:val="24"/>
          <w:szCs w:val="24"/>
        </w:rPr>
        <w:t>40</w:t>
      </w:r>
      <w:r>
        <w:rPr>
          <w:rFonts w:hint="eastAsia" w:ascii="Times New Roman" w:hAnsi="Times New Roman" w:eastAsia="宋体" w:cs="宋体"/>
          <w:color w:val="000000"/>
          <w:kern w:val="0"/>
          <w:sz w:val="24"/>
          <w:szCs w:val="24"/>
        </w:rPr>
        <w:t>篇发表于</w:t>
      </w:r>
      <w:r>
        <w:rPr>
          <w:rFonts w:ascii="Times New Roman" w:hAnsi="Times New Roman" w:eastAsia="宋体" w:cs="宋体"/>
          <w:color w:val="000000"/>
          <w:kern w:val="0"/>
          <w:sz w:val="24"/>
          <w:szCs w:val="24"/>
        </w:rPr>
        <w:t>Angewandte Chemie International Edition期刊，占所有文献12%</w:t>
      </w:r>
      <w:r>
        <w:rPr>
          <w:rFonts w:hint="eastAsia" w:ascii="Times New Roman" w:hAnsi="Times New Roman" w:eastAsia="宋体" w:cs="宋体"/>
          <w:color w:val="000000"/>
          <w:kern w:val="0"/>
          <w:sz w:val="24"/>
          <w:szCs w:val="24"/>
        </w:rPr>
        <w:t>，</w:t>
      </w:r>
      <w:r>
        <w:rPr>
          <w:rFonts w:ascii="Times New Roman" w:hAnsi="Times New Roman" w:eastAsia="宋体" w:cs="宋体"/>
          <w:color w:val="000000"/>
          <w:kern w:val="0"/>
          <w:sz w:val="24"/>
          <w:szCs w:val="24"/>
        </w:rPr>
        <w:t>39</w:t>
      </w:r>
      <w:r>
        <w:rPr>
          <w:rFonts w:hint="eastAsia" w:ascii="Times New Roman" w:hAnsi="Times New Roman" w:eastAsia="宋体" w:cs="宋体"/>
          <w:color w:val="000000"/>
          <w:kern w:val="0"/>
          <w:sz w:val="24"/>
          <w:szCs w:val="24"/>
        </w:rPr>
        <w:t>篇发表于</w:t>
      </w:r>
      <w:r>
        <w:rPr>
          <w:rFonts w:ascii="Times New Roman" w:hAnsi="Times New Roman" w:eastAsia="宋体" w:cs="宋体"/>
          <w:color w:val="000000"/>
          <w:kern w:val="0"/>
          <w:sz w:val="24"/>
          <w:szCs w:val="24"/>
        </w:rPr>
        <w:t>Journal of the American Chemical Society</w:t>
      </w:r>
      <w:r>
        <w:rPr>
          <w:rFonts w:hint="eastAsia" w:ascii="Times New Roman" w:hAnsi="Times New Roman" w:eastAsia="宋体" w:cs="宋体"/>
          <w:color w:val="000000"/>
          <w:kern w:val="0"/>
          <w:sz w:val="24"/>
          <w:szCs w:val="24"/>
        </w:rPr>
        <w:t>，</w:t>
      </w:r>
      <w:r>
        <w:rPr>
          <w:rFonts w:ascii="Times New Roman" w:hAnsi="Times New Roman" w:eastAsia="宋体" w:cs="宋体"/>
          <w:color w:val="000000"/>
          <w:kern w:val="0"/>
          <w:sz w:val="24"/>
          <w:szCs w:val="24"/>
        </w:rPr>
        <w:t>占</w:t>
      </w:r>
      <w:r>
        <w:rPr>
          <w:rFonts w:hint="eastAsia" w:ascii="Times New Roman" w:hAnsi="Times New Roman" w:eastAsia="宋体" w:cs="宋体"/>
          <w:color w:val="000000"/>
          <w:kern w:val="0"/>
          <w:sz w:val="24"/>
          <w:szCs w:val="24"/>
          <w:lang w:eastAsia="zh-Hans"/>
        </w:rPr>
        <w:t>比</w:t>
      </w:r>
      <w:r>
        <w:rPr>
          <w:rFonts w:ascii="Times New Roman" w:hAnsi="Times New Roman" w:eastAsia="宋体" w:cs="宋体"/>
          <w:color w:val="000000"/>
          <w:kern w:val="0"/>
          <w:sz w:val="24"/>
          <w:szCs w:val="24"/>
        </w:rPr>
        <w:t>12%。</w:t>
      </w:r>
      <w:r>
        <w:rPr>
          <w:rFonts w:hint="eastAsia" w:ascii="Times New Roman" w:hAnsi="Times New Roman" w:eastAsia="宋体" w:cs="宋体"/>
          <w:color w:val="000000"/>
          <w:kern w:val="0"/>
          <w:sz w:val="24"/>
          <w:szCs w:val="24"/>
        </w:rPr>
        <w:t>3</w:t>
      </w:r>
      <w:r>
        <w:rPr>
          <w:rFonts w:ascii="Times New Roman" w:hAnsi="Times New Roman" w:eastAsia="宋体" w:cs="宋体"/>
          <w:color w:val="000000"/>
          <w:kern w:val="0"/>
          <w:sz w:val="24"/>
          <w:szCs w:val="24"/>
        </w:rPr>
        <w:t>7</w:t>
      </w:r>
      <w:r>
        <w:rPr>
          <w:rFonts w:hint="eastAsia" w:ascii="Times New Roman" w:hAnsi="Times New Roman" w:eastAsia="宋体" w:cs="宋体"/>
          <w:color w:val="000000"/>
          <w:kern w:val="0"/>
          <w:sz w:val="24"/>
          <w:szCs w:val="24"/>
        </w:rPr>
        <w:t>篇发表在</w:t>
      </w:r>
      <w:r>
        <w:rPr>
          <w:rFonts w:ascii="Times New Roman" w:hAnsi="Times New Roman" w:eastAsia="宋体" w:cs="宋体"/>
          <w:color w:val="000000"/>
          <w:kern w:val="0"/>
          <w:sz w:val="24"/>
          <w:szCs w:val="24"/>
        </w:rPr>
        <w:t>Proceedings of the National Academy of Sciences of the United States of America</w:t>
      </w:r>
      <w:r>
        <w:rPr>
          <w:rFonts w:hint="eastAsia" w:ascii="Times New Roman" w:hAnsi="Times New Roman" w:eastAsia="宋体" w:cs="宋体"/>
          <w:color w:val="000000"/>
          <w:kern w:val="0"/>
          <w:sz w:val="24"/>
          <w:szCs w:val="24"/>
        </w:rPr>
        <w:t>，占</w:t>
      </w:r>
      <w:r>
        <w:rPr>
          <w:rFonts w:hint="eastAsia" w:ascii="Times New Roman" w:hAnsi="Times New Roman" w:eastAsia="宋体" w:cs="宋体"/>
          <w:color w:val="000000"/>
          <w:kern w:val="0"/>
          <w:sz w:val="24"/>
          <w:szCs w:val="24"/>
          <w:lang w:eastAsia="zh-Hans"/>
        </w:rPr>
        <w:t>比</w:t>
      </w:r>
      <w:r>
        <w:rPr>
          <w:rFonts w:hint="eastAsia" w:ascii="Times New Roman" w:hAnsi="Times New Roman" w:eastAsia="宋体" w:cs="宋体"/>
          <w:color w:val="000000"/>
          <w:kern w:val="0"/>
          <w:sz w:val="24"/>
          <w:szCs w:val="24"/>
        </w:rPr>
        <w:t>1</w:t>
      </w:r>
      <w:r>
        <w:rPr>
          <w:rFonts w:ascii="Times New Roman" w:hAnsi="Times New Roman" w:eastAsia="宋体" w:cs="宋体"/>
          <w:color w:val="000000"/>
          <w:kern w:val="0"/>
          <w:sz w:val="24"/>
          <w:szCs w:val="24"/>
        </w:rPr>
        <w:t>1%</w:t>
      </w:r>
      <w:r>
        <w:rPr>
          <w:rFonts w:hint="eastAsia" w:ascii="Times New Roman" w:hAnsi="Times New Roman" w:eastAsia="宋体" w:cs="宋体"/>
          <w:color w:val="000000"/>
          <w:kern w:val="0"/>
          <w:sz w:val="24"/>
          <w:szCs w:val="24"/>
        </w:rPr>
        <w:t>。</w:t>
      </w:r>
    </w:p>
    <w:p>
      <w:pPr>
        <w:widowControl/>
        <w:shd w:val="clear" w:color="auto" w:fill="FFFFFF"/>
        <w:spacing w:after="156" w:line="400" w:lineRule="atLeast"/>
        <w:ind w:firstLine="480"/>
        <w:jc w:val="left"/>
        <w:rPr>
          <w:rFonts w:ascii="Times New Roman" w:hAnsi="Times New Roman" w:eastAsia="宋体" w:cs="宋体"/>
          <w:color w:val="FF0000"/>
          <w:kern w:val="0"/>
          <w:sz w:val="24"/>
          <w:szCs w:val="24"/>
        </w:rPr>
      </w:pPr>
      <w:r>
        <w:rPr>
          <w:rFonts w:hint="eastAsia" w:ascii="Times New Roman" w:hAnsi="Times New Roman" w:eastAsia="宋体" w:cs="宋体"/>
          <w:color w:val="000000"/>
          <w:kern w:val="0"/>
          <w:sz w:val="24"/>
          <w:szCs w:val="24"/>
        </w:rPr>
        <w:t>三位获奖者的相关主题学术论文详见武汉大学图书馆化学学科服务平台：</w:t>
      </w:r>
      <w:r>
        <w:rPr>
          <w:rFonts w:ascii="Times New Roman" w:hAnsi="Times New Roman" w:eastAsia="宋体" w:cs="宋体"/>
          <w:color w:val="000000"/>
          <w:kern w:val="0"/>
          <w:sz w:val="24"/>
          <w:szCs w:val="24"/>
        </w:rPr>
        <w:fldChar w:fldCharType="begin"/>
      </w:r>
      <w:r>
        <w:rPr>
          <w:rFonts w:ascii="Times New Roman" w:hAnsi="Times New Roman" w:eastAsia="宋体" w:cs="宋体"/>
          <w:color w:val="000000"/>
          <w:kern w:val="0"/>
          <w:sz w:val="24"/>
          <w:szCs w:val="24"/>
        </w:rPr>
        <w:instrText xml:space="preserve"> HYPERLINK "https://libguides.lib.whu.edu.cn/c.php?g=665822&amp;p=6765489" </w:instrText>
      </w:r>
      <w:r>
        <w:rPr>
          <w:rFonts w:ascii="Times New Roman" w:hAnsi="Times New Roman" w:eastAsia="宋体" w:cs="宋体"/>
          <w:color w:val="000000"/>
          <w:kern w:val="0"/>
          <w:sz w:val="24"/>
          <w:szCs w:val="24"/>
        </w:rPr>
        <w:fldChar w:fldCharType="separate"/>
      </w:r>
      <w:r>
        <w:rPr>
          <w:rStyle w:val="12"/>
          <w:rFonts w:ascii="Times New Roman" w:hAnsi="Times New Roman" w:eastAsia="宋体" w:cs="宋体"/>
          <w:color w:val="000000"/>
          <w:kern w:val="0"/>
          <w:sz w:val="24"/>
          <w:szCs w:val="24"/>
        </w:rPr>
        <w:t>https://libguides.lib.whu.edu.cn/c.php?g=665822&amp;p=6765489</w:t>
      </w:r>
      <w:r>
        <w:rPr>
          <w:rFonts w:ascii="Times New Roman" w:hAnsi="Times New Roman" w:eastAsia="宋体" w:cs="宋体"/>
          <w:color w:val="000000"/>
          <w:kern w:val="0"/>
          <w:sz w:val="24"/>
          <w:szCs w:val="24"/>
        </w:rPr>
        <w:fldChar w:fldCharType="end"/>
      </w:r>
      <w:r>
        <w:rPr>
          <w:rFonts w:ascii="Times New Roman" w:hAnsi="Times New Roman" w:eastAsia="宋体" w:cs="宋体"/>
          <w:color w:val="000000"/>
          <w:kern w:val="0"/>
          <w:sz w:val="24"/>
          <w:szCs w:val="24"/>
        </w:rPr>
        <w:t>。</w:t>
      </w:r>
    </w:p>
    <w:p>
      <w:pPr>
        <w:widowControl/>
        <w:shd w:val="clear" w:color="auto" w:fill="FFFFFF"/>
        <w:spacing w:after="156" w:line="400" w:lineRule="atLeast"/>
        <w:ind w:firstLine="480"/>
        <w:jc w:val="left"/>
        <w:rPr>
          <w:rStyle w:val="11"/>
          <w:color w:val="000000"/>
          <w:sz w:val="24"/>
          <w:szCs w:val="24"/>
          <w:shd w:val="clear" w:color="auto" w:fill="FFFFFF"/>
        </w:rPr>
      </w:pPr>
      <w:r>
        <w:rPr>
          <w:rStyle w:val="11"/>
          <w:rFonts w:hint="eastAsia"/>
          <w:color w:val="000000"/>
          <w:sz w:val="24"/>
          <w:szCs w:val="24"/>
          <w:shd w:val="clear" w:color="auto" w:fill="FFFFFF"/>
        </w:rPr>
        <w:t>二、相关施引文献分析</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截至2</w:t>
      </w:r>
      <w:r>
        <w:rPr>
          <w:rFonts w:ascii="Times New Roman" w:hAnsi="Times New Roman" w:eastAsia="宋体" w:cs="宋体"/>
          <w:color w:val="000000"/>
          <w:kern w:val="0"/>
          <w:sz w:val="24"/>
          <w:szCs w:val="24"/>
        </w:rPr>
        <w:t>022</w:t>
      </w:r>
      <w:r>
        <w:rPr>
          <w:rFonts w:hint="eastAsia" w:ascii="Times New Roman" w:hAnsi="Times New Roman" w:eastAsia="宋体" w:cs="宋体"/>
          <w:color w:val="000000"/>
          <w:kern w:val="0"/>
          <w:sz w:val="24"/>
          <w:szCs w:val="24"/>
        </w:rPr>
        <w:t>年</w:t>
      </w:r>
      <w:r>
        <w:rPr>
          <w:rFonts w:ascii="Times New Roman" w:hAnsi="Times New Roman" w:eastAsia="宋体" w:cs="宋体"/>
          <w:color w:val="000000"/>
          <w:kern w:val="0"/>
          <w:sz w:val="24"/>
          <w:szCs w:val="24"/>
        </w:rPr>
        <w:t>11</w:t>
      </w:r>
      <w:r>
        <w:rPr>
          <w:rFonts w:hint="eastAsia" w:ascii="Times New Roman" w:hAnsi="Times New Roman" w:eastAsia="宋体" w:cs="宋体"/>
          <w:color w:val="000000"/>
          <w:kern w:val="0"/>
          <w:sz w:val="24"/>
          <w:szCs w:val="24"/>
        </w:rPr>
        <w:t>月</w:t>
      </w:r>
      <w:r>
        <w:rPr>
          <w:rFonts w:ascii="Times New Roman" w:hAnsi="Times New Roman" w:eastAsia="宋体" w:cs="宋体"/>
          <w:color w:val="000000"/>
          <w:kern w:val="0"/>
          <w:sz w:val="24"/>
          <w:szCs w:val="24"/>
        </w:rPr>
        <w:t>15</w:t>
      </w:r>
      <w:r>
        <w:rPr>
          <w:rFonts w:hint="eastAsia" w:ascii="Times New Roman" w:hAnsi="Times New Roman" w:eastAsia="宋体" w:cs="宋体"/>
          <w:color w:val="000000"/>
          <w:kern w:val="0"/>
          <w:sz w:val="24"/>
          <w:szCs w:val="24"/>
        </w:rPr>
        <w:t>日，三位诺贝尔化学奖得主的</w:t>
      </w:r>
      <w:r>
        <w:rPr>
          <w:rFonts w:ascii="Times New Roman" w:hAnsi="Times New Roman" w:eastAsia="宋体" w:cs="宋体"/>
          <w:color w:val="000000"/>
          <w:kern w:val="0"/>
          <w:sz w:val="24"/>
          <w:szCs w:val="24"/>
        </w:rPr>
        <w:t>332</w:t>
      </w:r>
      <w:r>
        <w:rPr>
          <w:rFonts w:hint="eastAsia" w:ascii="Times New Roman" w:hAnsi="Times New Roman" w:eastAsia="宋体" w:cs="宋体"/>
          <w:color w:val="000000"/>
          <w:kern w:val="0"/>
          <w:sz w:val="24"/>
          <w:szCs w:val="24"/>
        </w:rPr>
        <w:t>篇相关文献被全球</w:t>
      </w:r>
      <w:r>
        <w:rPr>
          <w:rFonts w:ascii="Times New Roman" w:hAnsi="Times New Roman" w:eastAsia="宋体" w:cs="宋体"/>
          <w:color w:val="000000"/>
          <w:kern w:val="0"/>
          <w:sz w:val="24"/>
          <w:szCs w:val="24"/>
        </w:rPr>
        <w:t>39743</w:t>
      </w:r>
      <w:r>
        <w:rPr>
          <w:rFonts w:hint="eastAsia" w:ascii="Times New Roman" w:hAnsi="Times New Roman" w:eastAsia="宋体" w:cs="宋体"/>
          <w:color w:val="000000"/>
          <w:kern w:val="0"/>
          <w:sz w:val="24"/>
          <w:szCs w:val="24"/>
        </w:rPr>
        <w:t>篇论文引用，总被引</w:t>
      </w:r>
      <w:r>
        <w:rPr>
          <w:rFonts w:ascii="Times New Roman" w:hAnsi="Times New Roman" w:eastAsia="宋体" w:cs="宋体"/>
          <w:color w:val="000000"/>
          <w:kern w:val="0"/>
          <w:sz w:val="24"/>
          <w:szCs w:val="24"/>
        </w:rPr>
        <w:t>84156</w:t>
      </w:r>
      <w:r>
        <w:rPr>
          <w:rFonts w:hint="eastAsia" w:ascii="Times New Roman" w:hAnsi="Times New Roman" w:eastAsia="宋体" w:cs="宋体"/>
          <w:color w:val="000000"/>
          <w:kern w:val="0"/>
          <w:sz w:val="24"/>
          <w:szCs w:val="24"/>
        </w:rPr>
        <w:t>次，篇均被引频次为</w:t>
      </w:r>
      <w:r>
        <w:rPr>
          <w:rFonts w:ascii="Times New Roman" w:hAnsi="Times New Roman" w:eastAsia="宋体" w:cs="宋体"/>
          <w:color w:val="000000"/>
          <w:kern w:val="0"/>
          <w:sz w:val="24"/>
          <w:szCs w:val="24"/>
        </w:rPr>
        <w:t>252.72</w:t>
      </w:r>
      <w:r>
        <w:rPr>
          <w:rFonts w:hint="eastAsia" w:ascii="Times New Roman" w:hAnsi="Times New Roman" w:eastAsia="宋体" w:cs="宋体"/>
          <w:color w:val="000000"/>
          <w:kern w:val="0"/>
          <w:sz w:val="24"/>
          <w:szCs w:val="24"/>
        </w:rPr>
        <w:t>；从全球来看，施引文献</w:t>
      </w:r>
      <w:r>
        <w:rPr>
          <w:rFonts w:hint="eastAsia" w:ascii="Times New Roman" w:hAnsi="Times New Roman" w:eastAsia="宋体" w:cs="宋体"/>
          <w:color w:val="000000"/>
          <w:kern w:val="0"/>
          <w:sz w:val="24"/>
          <w:szCs w:val="24"/>
          <w:lang w:eastAsia="zh-Hans"/>
        </w:rPr>
        <w:t>从</w:t>
      </w:r>
      <w:r>
        <w:rPr>
          <w:rFonts w:ascii="Times New Roman" w:hAnsi="Times New Roman" w:eastAsia="宋体" w:cs="宋体"/>
          <w:color w:val="000000"/>
          <w:kern w:val="0"/>
          <w:sz w:val="24"/>
          <w:szCs w:val="24"/>
        </w:rPr>
        <w:t>2000</w:t>
      </w:r>
      <w:r>
        <w:rPr>
          <w:rFonts w:hint="eastAsia" w:ascii="Times New Roman" w:hAnsi="Times New Roman" w:eastAsia="宋体" w:cs="宋体"/>
          <w:color w:val="000000"/>
          <w:kern w:val="0"/>
          <w:sz w:val="24"/>
          <w:szCs w:val="24"/>
        </w:rPr>
        <w:t>年到</w:t>
      </w:r>
      <w:r>
        <w:rPr>
          <w:rFonts w:ascii="Times New Roman" w:hAnsi="Times New Roman" w:eastAsia="宋体" w:cs="宋体"/>
          <w:color w:val="000000"/>
          <w:kern w:val="0"/>
          <w:sz w:val="24"/>
          <w:szCs w:val="24"/>
        </w:rPr>
        <w:t>2022</w:t>
      </w:r>
      <w:r>
        <w:rPr>
          <w:rFonts w:hint="eastAsia" w:ascii="Times New Roman" w:hAnsi="Times New Roman" w:eastAsia="宋体" w:cs="宋体"/>
          <w:color w:val="000000"/>
          <w:kern w:val="0"/>
          <w:sz w:val="24"/>
          <w:szCs w:val="24"/>
        </w:rPr>
        <w:t>年持续增长，</w:t>
      </w:r>
      <w:r>
        <w:rPr>
          <w:rFonts w:ascii="Times New Roman" w:hAnsi="Times New Roman" w:eastAsia="宋体" w:cs="宋体"/>
          <w:color w:val="000000"/>
          <w:kern w:val="0"/>
          <w:sz w:val="24"/>
          <w:szCs w:val="24"/>
        </w:rPr>
        <w:t>2000</w:t>
      </w:r>
      <w:r>
        <w:rPr>
          <w:rFonts w:hint="eastAsia" w:ascii="Times New Roman" w:hAnsi="Times New Roman" w:eastAsia="宋体" w:cs="宋体"/>
          <w:color w:val="000000"/>
          <w:kern w:val="0"/>
          <w:sz w:val="24"/>
          <w:szCs w:val="24"/>
        </w:rPr>
        <w:t>年仅有</w:t>
      </w:r>
      <w:r>
        <w:rPr>
          <w:rFonts w:ascii="Times New Roman" w:hAnsi="Times New Roman" w:eastAsia="宋体" w:cs="宋体"/>
          <w:color w:val="000000"/>
          <w:kern w:val="0"/>
          <w:sz w:val="24"/>
          <w:szCs w:val="24"/>
        </w:rPr>
        <w:t>10</w:t>
      </w:r>
      <w:r>
        <w:rPr>
          <w:rFonts w:hint="eastAsia" w:ascii="Times New Roman" w:hAnsi="Times New Roman" w:eastAsia="宋体" w:cs="宋体"/>
          <w:color w:val="000000"/>
          <w:kern w:val="0"/>
          <w:sz w:val="24"/>
          <w:szCs w:val="24"/>
        </w:rPr>
        <w:t>篇，</w:t>
      </w:r>
      <w:r>
        <w:rPr>
          <w:rFonts w:ascii="Times New Roman" w:hAnsi="Times New Roman" w:eastAsia="宋体" w:cs="宋体"/>
          <w:color w:val="000000"/>
          <w:kern w:val="0"/>
          <w:sz w:val="24"/>
          <w:szCs w:val="24"/>
        </w:rPr>
        <w:t>2021</w:t>
      </w:r>
      <w:r>
        <w:rPr>
          <w:rFonts w:hint="eastAsia" w:ascii="Times New Roman" w:hAnsi="Times New Roman" w:eastAsia="宋体" w:cs="宋体"/>
          <w:color w:val="000000"/>
          <w:kern w:val="0"/>
          <w:sz w:val="24"/>
          <w:szCs w:val="24"/>
        </w:rPr>
        <w:t>年高达</w:t>
      </w:r>
      <w:r>
        <w:rPr>
          <w:rFonts w:ascii="Times New Roman" w:hAnsi="Times New Roman" w:eastAsia="宋体" w:cs="宋体"/>
          <w:color w:val="000000"/>
          <w:kern w:val="0"/>
          <w:sz w:val="24"/>
          <w:szCs w:val="24"/>
        </w:rPr>
        <w:t>3252</w:t>
      </w:r>
      <w:r>
        <w:rPr>
          <w:rFonts w:hint="eastAsia" w:ascii="Times New Roman" w:hAnsi="Times New Roman" w:eastAsia="宋体" w:cs="宋体"/>
          <w:color w:val="000000"/>
          <w:kern w:val="0"/>
          <w:sz w:val="24"/>
          <w:szCs w:val="24"/>
        </w:rPr>
        <w:t>篇，如图</w:t>
      </w:r>
      <w:r>
        <w:rPr>
          <w:rFonts w:ascii="Times New Roman" w:hAnsi="Times New Roman" w:eastAsia="宋体" w:cs="宋体"/>
          <w:color w:val="000000"/>
          <w:kern w:val="0"/>
          <w:sz w:val="24"/>
          <w:szCs w:val="24"/>
        </w:rPr>
        <w:t>2</w:t>
      </w:r>
      <w:r>
        <w:rPr>
          <w:rFonts w:hint="eastAsia" w:ascii="Times New Roman" w:hAnsi="Times New Roman" w:eastAsia="宋体" w:cs="宋体"/>
          <w:color w:val="000000"/>
          <w:kern w:val="0"/>
          <w:sz w:val="24"/>
          <w:szCs w:val="24"/>
        </w:rPr>
        <w:t>。全部施引文献分布在</w:t>
      </w:r>
      <w:r>
        <w:rPr>
          <w:rFonts w:ascii="Times New Roman" w:hAnsi="Times New Roman" w:eastAsia="宋体" w:cs="宋体"/>
          <w:color w:val="000000"/>
          <w:kern w:val="0"/>
          <w:sz w:val="24"/>
          <w:szCs w:val="24"/>
        </w:rPr>
        <w:t>120</w:t>
      </w:r>
      <w:r>
        <w:rPr>
          <w:rFonts w:hint="eastAsia" w:ascii="Times New Roman" w:hAnsi="Times New Roman" w:eastAsia="宋体" w:cs="宋体"/>
          <w:color w:val="000000"/>
          <w:kern w:val="0"/>
          <w:sz w:val="24"/>
          <w:szCs w:val="24"/>
        </w:rPr>
        <w:t>个国家</w:t>
      </w:r>
      <w:r>
        <w:rPr>
          <w:rFonts w:ascii="Times New Roman" w:hAnsi="Times New Roman" w:eastAsia="宋体" w:cs="宋体"/>
          <w:color w:val="000000"/>
          <w:kern w:val="0"/>
          <w:sz w:val="24"/>
          <w:szCs w:val="24"/>
        </w:rPr>
        <w:t>/</w:t>
      </w:r>
      <w:r>
        <w:rPr>
          <w:rFonts w:hint="eastAsia" w:ascii="Times New Roman" w:hAnsi="Times New Roman" w:eastAsia="宋体" w:cs="宋体"/>
          <w:color w:val="000000"/>
          <w:kern w:val="0"/>
          <w:sz w:val="24"/>
          <w:szCs w:val="24"/>
        </w:rPr>
        <w:t>地区，排名第一的是美国，发文量达</w:t>
      </w:r>
      <w:r>
        <w:rPr>
          <w:rFonts w:ascii="Times New Roman" w:hAnsi="Times New Roman" w:eastAsia="宋体" w:cs="宋体"/>
          <w:color w:val="000000"/>
          <w:kern w:val="0"/>
          <w:sz w:val="24"/>
          <w:szCs w:val="24"/>
        </w:rPr>
        <w:t>10422</w:t>
      </w:r>
      <w:r>
        <w:rPr>
          <w:rFonts w:hint="eastAsia" w:ascii="Times New Roman" w:hAnsi="Times New Roman" w:eastAsia="宋体" w:cs="宋体"/>
          <w:color w:val="000000"/>
          <w:kern w:val="0"/>
          <w:sz w:val="24"/>
          <w:szCs w:val="24"/>
        </w:rPr>
        <w:t>篇</w:t>
      </w:r>
      <w:r>
        <w:rPr>
          <w:rFonts w:ascii="Times New Roman" w:hAnsi="Times New Roman" w:eastAsia="宋体" w:cs="宋体"/>
          <w:color w:val="000000"/>
          <w:kern w:val="0"/>
          <w:sz w:val="24"/>
          <w:szCs w:val="24"/>
        </w:rPr>
        <w:t>；</w:t>
      </w:r>
      <w:r>
        <w:rPr>
          <w:rFonts w:hint="eastAsia" w:ascii="Times New Roman" w:hAnsi="Times New Roman" w:eastAsia="宋体" w:cs="宋体"/>
          <w:color w:val="000000"/>
          <w:kern w:val="0"/>
          <w:sz w:val="24"/>
          <w:szCs w:val="24"/>
        </w:rPr>
        <w:t>中国排在第二，发文量为</w:t>
      </w:r>
      <w:r>
        <w:rPr>
          <w:rFonts w:ascii="Times New Roman" w:hAnsi="Times New Roman" w:eastAsia="宋体" w:cs="宋体"/>
          <w:color w:val="000000"/>
          <w:kern w:val="0"/>
          <w:sz w:val="24"/>
          <w:szCs w:val="24"/>
        </w:rPr>
        <w:t>7191</w:t>
      </w:r>
      <w:r>
        <w:rPr>
          <w:rFonts w:hint="eastAsia" w:ascii="Times New Roman" w:hAnsi="Times New Roman" w:eastAsia="宋体" w:cs="宋体"/>
          <w:color w:val="000000"/>
          <w:kern w:val="0"/>
          <w:sz w:val="24"/>
          <w:szCs w:val="24"/>
        </w:rPr>
        <w:t>篇。</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结合本次诺奖的获奖原因，构造相应主题检索策略，从施引文献中筛选出与诺奖主题相关的论文共计23189篇（占全部施引文献的58%）,下面针对这部分相关施引文献从不同角度进行分析。</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rPr>
      </w:pPr>
    </w:p>
    <w:p>
      <w:pPr>
        <w:widowControl/>
        <w:shd w:val="clear" w:color="auto" w:fill="FFFFFF"/>
        <w:spacing w:after="156" w:line="400" w:lineRule="atLeast"/>
        <w:jc w:val="center"/>
        <w:rPr>
          <w:rFonts w:ascii="Times New Roman" w:hAnsi="Times New Roman" w:eastAsia="楷体" w:cs="宋体"/>
          <w:color w:val="000000"/>
          <w:kern w:val="0"/>
          <w:szCs w:val="21"/>
        </w:rPr>
      </w:pPr>
      <w:r>
        <w:drawing>
          <wp:inline distT="0" distB="0" distL="0" distR="0">
            <wp:extent cx="5028565" cy="1693545"/>
            <wp:effectExtent l="0" t="0" r="63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67150" cy="1707045"/>
                    </a:xfrm>
                    <a:prstGeom prst="rect">
                      <a:avLst/>
                    </a:prstGeom>
                  </pic:spPr>
                </pic:pic>
              </a:graphicData>
            </a:graphic>
          </wp:inline>
        </w:drawing>
      </w:r>
    </w:p>
    <w:p>
      <w:pPr>
        <w:widowControl/>
        <w:shd w:val="clear" w:color="auto" w:fill="FFFFFF"/>
        <w:spacing w:after="156" w:line="400" w:lineRule="atLeast"/>
        <w:jc w:val="center"/>
        <w:rPr>
          <w:rFonts w:ascii="Times New Roman" w:hAnsi="Times New Roman" w:eastAsia="楷体" w:cs="宋体"/>
          <w:color w:val="000000"/>
          <w:kern w:val="0"/>
          <w:szCs w:val="21"/>
        </w:rPr>
      </w:pPr>
      <w:r>
        <w:rPr>
          <w:rFonts w:hint="eastAsia" w:ascii="Times New Roman" w:hAnsi="Times New Roman" w:eastAsia="楷体" w:cs="宋体"/>
          <w:color w:val="000000"/>
          <w:kern w:val="0"/>
          <w:szCs w:val="21"/>
        </w:rPr>
        <w:t>图</w:t>
      </w:r>
      <w:r>
        <w:rPr>
          <w:rFonts w:ascii="Times New Roman" w:hAnsi="Times New Roman" w:eastAsia="楷体" w:cs="宋体"/>
          <w:color w:val="000000"/>
          <w:kern w:val="0"/>
          <w:szCs w:val="21"/>
        </w:rPr>
        <w:t xml:space="preserve">2 </w:t>
      </w:r>
      <w:r>
        <w:rPr>
          <w:rFonts w:hint="eastAsia" w:ascii="Times New Roman" w:hAnsi="Times New Roman" w:eastAsia="楷体" w:cs="宋体"/>
          <w:color w:val="000000"/>
          <w:kern w:val="0"/>
          <w:szCs w:val="21"/>
        </w:rPr>
        <w:t>相关施引文献的年度分布</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rPr>
      </w:pPr>
      <w:r>
        <w:rPr>
          <w:rFonts w:ascii="Times New Roman" w:hAnsi="Times New Roman" w:eastAsia="宋体" w:cs="宋体"/>
          <w:color w:val="000000"/>
          <w:kern w:val="0"/>
          <w:sz w:val="24"/>
          <w:szCs w:val="24"/>
        </w:rPr>
        <w:t>23189</w:t>
      </w:r>
      <w:r>
        <w:rPr>
          <w:rFonts w:hint="eastAsia" w:ascii="Times New Roman" w:hAnsi="Times New Roman" w:eastAsia="宋体" w:cs="宋体"/>
          <w:color w:val="000000"/>
          <w:kern w:val="0"/>
          <w:sz w:val="24"/>
          <w:szCs w:val="24"/>
        </w:rPr>
        <w:t>篇相关施引文献分布于</w:t>
      </w:r>
      <w:r>
        <w:rPr>
          <w:rFonts w:ascii="Times New Roman" w:hAnsi="Times New Roman" w:eastAsia="宋体" w:cs="宋体"/>
          <w:color w:val="000000"/>
          <w:kern w:val="0"/>
          <w:sz w:val="24"/>
          <w:szCs w:val="24"/>
        </w:rPr>
        <w:t>1554</w:t>
      </w:r>
      <w:r>
        <w:rPr>
          <w:rFonts w:hint="eastAsia" w:ascii="Times New Roman" w:hAnsi="Times New Roman" w:eastAsia="宋体" w:cs="宋体"/>
          <w:color w:val="000000"/>
          <w:kern w:val="0"/>
          <w:sz w:val="24"/>
          <w:szCs w:val="24"/>
        </w:rPr>
        <w:t>种期刊，如图</w:t>
      </w:r>
      <w:r>
        <w:rPr>
          <w:rFonts w:ascii="Times New Roman" w:hAnsi="Times New Roman" w:eastAsia="宋体" w:cs="宋体"/>
          <w:color w:val="000000"/>
          <w:kern w:val="0"/>
          <w:sz w:val="24"/>
          <w:szCs w:val="24"/>
        </w:rPr>
        <w:t>3</w:t>
      </w:r>
      <w:r>
        <w:rPr>
          <w:rFonts w:hint="eastAsia" w:ascii="Times New Roman" w:hAnsi="Times New Roman" w:eastAsia="宋体" w:cs="宋体"/>
          <w:color w:val="000000"/>
          <w:kern w:val="0"/>
          <w:sz w:val="24"/>
          <w:szCs w:val="24"/>
        </w:rPr>
        <w:t>所示，其中</w:t>
      </w:r>
      <w:r>
        <w:rPr>
          <w:rFonts w:ascii="Times New Roman" w:hAnsi="Times New Roman" w:eastAsia="宋体" w:cs="宋体"/>
          <w:iCs/>
          <w:color w:val="000000"/>
          <w:kern w:val="0"/>
          <w:sz w:val="24"/>
          <w:szCs w:val="24"/>
        </w:rPr>
        <w:t>Chemical Communications</w:t>
      </w:r>
      <w:r>
        <w:rPr>
          <w:rFonts w:hint="eastAsia" w:ascii="Times New Roman" w:hAnsi="Times New Roman" w:eastAsia="宋体" w:cs="宋体"/>
          <w:color w:val="000000"/>
          <w:kern w:val="0"/>
          <w:sz w:val="24"/>
          <w:szCs w:val="24"/>
        </w:rPr>
        <w:t>、</w:t>
      </w:r>
      <w:r>
        <w:rPr>
          <w:rFonts w:ascii="Times New Roman" w:hAnsi="Times New Roman" w:eastAsia="宋体" w:cs="宋体"/>
          <w:iCs/>
          <w:color w:val="000000"/>
          <w:kern w:val="0"/>
          <w:sz w:val="24"/>
          <w:szCs w:val="24"/>
        </w:rPr>
        <w:t>Angewandte Chemie International Edition</w:t>
      </w:r>
      <w:r>
        <w:rPr>
          <w:rFonts w:hint="eastAsia" w:ascii="Times New Roman" w:hAnsi="Times New Roman" w:eastAsia="宋体" w:cs="宋体"/>
          <w:color w:val="000000"/>
          <w:kern w:val="0"/>
          <w:sz w:val="24"/>
          <w:szCs w:val="24"/>
        </w:rPr>
        <w:t>和</w:t>
      </w:r>
      <w:r>
        <w:rPr>
          <w:rFonts w:ascii="Times New Roman" w:hAnsi="Times New Roman" w:eastAsia="宋体" w:cs="宋体"/>
          <w:iCs/>
          <w:color w:val="000000"/>
          <w:kern w:val="0"/>
          <w:sz w:val="24"/>
          <w:szCs w:val="24"/>
        </w:rPr>
        <w:t xml:space="preserve">Journal of the </w:t>
      </w:r>
      <w:r>
        <w:rPr>
          <w:rFonts w:ascii="Times New Roman" w:hAnsi="Times New Roman" w:eastAsia="宋体" w:cs="宋体"/>
          <w:iCs/>
          <w:color w:val="000000"/>
          <w:kern w:val="0"/>
          <w:sz w:val="22"/>
          <w:szCs w:val="24"/>
        </w:rPr>
        <w:t>A</w:t>
      </w:r>
      <w:r>
        <w:rPr>
          <w:rFonts w:ascii="Times New Roman" w:hAnsi="Times New Roman" w:eastAsia="宋体" w:cs="宋体"/>
          <w:iCs/>
          <w:color w:val="000000"/>
          <w:kern w:val="0"/>
          <w:sz w:val="24"/>
          <w:szCs w:val="24"/>
        </w:rPr>
        <w:t>merican Chemical Society</w:t>
      </w:r>
      <w:r>
        <w:rPr>
          <w:rFonts w:ascii="Times New Roman" w:hAnsi="Times New Roman" w:eastAsia="宋体" w:cs="宋体"/>
          <w:color w:val="000000"/>
          <w:kern w:val="0"/>
          <w:sz w:val="24"/>
          <w:szCs w:val="24"/>
        </w:rPr>
        <w:t>发文占10%</w:t>
      </w:r>
      <w:r>
        <w:rPr>
          <w:rFonts w:hint="eastAsia" w:ascii="Times New Roman" w:hAnsi="Times New Roman" w:eastAsia="宋体" w:cs="宋体"/>
          <w:color w:val="000000"/>
          <w:kern w:val="0"/>
          <w:sz w:val="24"/>
          <w:szCs w:val="24"/>
        </w:rPr>
        <w:t>。TOP20期刊见图</w:t>
      </w:r>
      <w:r>
        <w:rPr>
          <w:rFonts w:ascii="Times New Roman" w:hAnsi="Times New Roman" w:eastAsia="宋体" w:cs="宋体"/>
          <w:color w:val="000000"/>
          <w:kern w:val="0"/>
          <w:sz w:val="24"/>
          <w:szCs w:val="24"/>
        </w:rPr>
        <w:t>3</w:t>
      </w:r>
      <w:r>
        <w:rPr>
          <w:rFonts w:hint="eastAsia" w:ascii="Times New Roman" w:hAnsi="Times New Roman" w:eastAsia="宋体" w:cs="宋体"/>
          <w:color w:val="000000"/>
          <w:kern w:val="0"/>
          <w:sz w:val="24"/>
          <w:szCs w:val="24"/>
        </w:rPr>
        <w:t>。</w:t>
      </w:r>
    </w:p>
    <w:p>
      <w:pPr>
        <w:widowControl/>
        <w:shd w:val="clear" w:color="auto" w:fill="FFFFFF"/>
        <w:spacing w:after="156" w:line="400" w:lineRule="atLeast"/>
        <w:jc w:val="center"/>
        <w:rPr>
          <w:rFonts w:ascii="Times New Roman" w:hAnsi="Times New Roman" w:eastAsia="楷体" w:cs="宋体"/>
          <w:color w:val="000000"/>
          <w:kern w:val="0"/>
          <w:szCs w:val="21"/>
        </w:rPr>
      </w:pPr>
      <w:r>
        <w:drawing>
          <wp:inline distT="0" distB="0" distL="0" distR="0">
            <wp:extent cx="6191885" cy="2468880"/>
            <wp:effectExtent l="0" t="0" r="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stretch>
                      <a:fillRect/>
                    </a:stretch>
                  </pic:blipFill>
                  <pic:spPr>
                    <a:xfrm>
                      <a:off x="0" y="0"/>
                      <a:ext cx="6220286" cy="2480172"/>
                    </a:xfrm>
                    <a:prstGeom prst="rect">
                      <a:avLst/>
                    </a:prstGeom>
                  </pic:spPr>
                </pic:pic>
              </a:graphicData>
            </a:graphic>
          </wp:inline>
        </w:drawing>
      </w:r>
      <w:r>
        <w:rPr>
          <w:rFonts w:ascii="Times New Roman" w:hAnsi="Times New Roman"/>
        </w:rPr>
        <w:t xml:space="preserve"> </w:t>
      </w:r>
      <w:r>
        <w:rPr>
          <w:rFonts w:hint="eastAsia" w:ascii="Times New Roman" w:hAnsi="Times New Roman" w:eastAsia="楷体" w:cs="宋体"/>
          <w:color w:val="000000"/>
          <w:kern w:val="0"/>
          <w:szCs w:val="21"/>
        </w:rPr>
        <w:t>图</w:t>
      </w:r>
      <w:r>
        <w:rPr>
          <w:rFonts w:ascii="Times New Roman" w:hAnsi="Times New Roman" w:eastAsia="楷体" w:cs="宋体"/>
          <w:color w:val="000000"/>
          <w:kern w:val="0"/>
          <w:szCs w:val="21"/>
        </w:rPr>
        <w:t xml:space="preserve">3 </w:t>
      </w:r>
      <w:r>
        <w:rPr>
          <w:rFonts w:hint="eastAsia" w:ascii="Times New Roman" w:hAnsi="Times New Roman" w:eastAsia="楷体" w:cs="宋体"/>
          <w:color w:val="000000"/>
          <w:kern w:val="0"/>
          <w:szCs w:val="21"/>
        </w:rPr>
        <w:t>相关施引文献的</w:t>
      </w:r>
      <w:r>
        <w:rPr>
          <w:rFonts w:ascii="Times New Roman" w:hAnsi="Times New Roman" w:eastAsia="楷体" w:cs="宋体"/>
          <w:color w:val="000000"/>
          <w:kern w:val="0"/>
          <w:szCs w:val="21"/>
        </w:rPr>
        <w:t>TOP20</w:t>
      </w:r>
      <w:r>
        <w:rPr>
          <w:rFonts w:hint="eastAsia" w:ascii="Times New Roman" w:hAnsi="Times New Roman" w:eastAsia="楷体" w:cs="宋体"/>
          <w:color w:val="000000"/>
          <w:kern w:val="0"/>
          <w:szCs w:val="21"/>
        </w:rPr>
        <w:t>期刊分布</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23189篇论文涉及全球1</w:t>
      </w:r>
      <w:r>
        <w:rPr>
          <w:rFonts w:ascii="Times New Roman" w:hAnsi="Times New Roman" w:eastAsia="宋体" w:cs="宋体"/>
          <w:color w:val="000000"/>
          <w:kern w:val="0"/>
          <w:sz w:val="24"/>
          <w:szCs w:val="24"/>
        </w:rPr>
        <w:t>11</w:t>
      </w:r>
      <w:r>
        <w:rPr>
          <w:rFonts w:hint="eastAsia" w:ascii="Times New Roman" w:hAnsi="Times New Roman" w:eastAsia="宋体" w:cs="宋体"/>
          <w:kern w:val="0"/>
          <w:sz w:val="24"/>
          <w:szCs w:val="24"/>
        </w:rPr>
        <w:t>个国家/地区，</w:t>
      </w:r>
      <w:r>
        <w:rPr>
          <w:rFonts w:hint="eastAsia" w:ascii="Times New Roman" w:hAnsi="Times New Roman" w:eastAsia="宋体" w:cs="宋体"/>
          <w:color w:val="000000"/>
          <w:kern w:val="0"/>
          <w:sz w:val="24"/>
          <w:szCs w:val="24"/>
        </w:rPr>
        <w:t>其中中国作者参与的相关施引文献共计</w:t>
      </w:r>
      <w:r>
        <w:rPr>
          <w:rFonts w:ascii="Times New Roman" w:hAnsi="Times New Roman" w:eastAsia="宋体" w:cs="宋体"/>
          <w:color w:val="000000"/>
          <w:kern w:val="0"/>
          <w:sz w:val="24"/>
          <w:szCs w:val="24"/>
        </w:rPr>
        <w:t>4561</w:t>
      </w:r>
      <w:r>
        <w:rPr>
          <w:rFonts w:hint="eastAsia" w:ascii="Times New Roman" w:hAnsi="Times New Roman" w:eastAsia="宋体" w:cs="宋体"/>
          <w:color w:val="000000"/>
          <w:kern w:val="0"/>
          <w:sz w:val="24"/>
          <w:szCs w:val="24"/>
        </w:rPr>
        <w:t>篇，居全球第</w:t>
      </w:r>
      <w:r>
        <w:rPr>
          <w:rFonts w:ascii="Times New Roman" w:hAnsi="Times New Roman" w:eastAsia="宋体" w:cs="宋体"/>
          <w:color w:val="000000"/>
          <w:kern w:val="0"/>
          <w:sz w:val="24"/>
          <w:szCs w:val="24"/>
        </w:rPr>
        <w:t>2</w:t>
      </w:r>
      <w:r>
        <w:rPr>
          <w:rFonts w:hint="eastAsia" w:ascii="Times New Roman" w:hAnsi="Times New Roman" w:eastAsia="宋体" w:cs="宋体"/>
          <w:color w:val="000000"/>
          <w:kern w:val="0"/>
          <w:sz w:val="24"/>
          <w:szCs w:val="24"/>
        </w:rPr>
        <w:t>。涉及的</w:t>
      </w:r>
      <w:r>
        <w:rPr>
          <w:rFonts w:ascii="Times New Roman" w:hAnsi="Times New Roman" w:eastAsia="宋体" w:cs="宋体"/>
          <w:color w:val="000000"/>
          <w:kern w:val="0"/>
          <w:sz w:val="24"/>
          <w:szCs w:val="24"/>
        </w:rPr>
        <w:t>TOP10</w:t>
      </w:r>
      <w:r>
        <w:rPr>
          <w:rFonts w:hint="eastAsia" w:ascii="Times New Roman" w:hAnsi="Times New Roman" w:eastAsia="宋体" w:cs="宋体"/>
          <w:color w:val="000000"/>
          <w:kern w:val="0"/>
          <w:sz w:val="24"/>
          <w:szCs w:val="24"/>
        </w:rPr>
        <w:t>机构排名如图</w:t>
      </w:r>
      <w:r>
        <w:rPr>
          <w:rFonts w:ascii="Times New Roman" w:hAnsi="Times New Roman" w:eastAsia="宋体" w:cs="宋体"/>
          <w:color w:val="000000"/>
          <w:kern w:val="0"/>
          <w:sz w:val="24"/>
          <w:szCs w:val="24"/>
        </w:rPr>
        <w:t>4</w:t>
      </w:r>
      <w:r>
        <w:rPr>
          <w:rFonts w:hint="eastAsia" w:ascii="Times New Roman" w:hAnsi="Times New Roman" w:eastAsia="宋体" w:cs="宋体"/>
          <w:color w:val="000000"/>
          <w:kern w:val="0"/>
          <w:sz w:val="24"/>
          <w:szCs w:val="24"/>
        </w:rPr>
        <w:t>。</w:t>
      </w:r>
    </w:p>
    <w:p>
      <w:pPr>
        <w:widowControl/>
        <w:shd w:val="clear" w:color="auto" w:fill="FFFFFF"/>
        <w:spacing w:after="156" w:line="400" w:lineRule="atLeast"/>
        <w:ind w:left="479" w:leftChars="228" w:firstLine="285"/>
        <w:jc w:val="left"/>
        <w:rPr>
          <w:rFonts w:ascii="Times New Roman" w:hAnsi="Times New Roman" w:eastAsia="宋体" w:cs="宋体"/>
          <w:color w:val="000000"/>
          <w:kern w:val="0"/>
          <w:sz w:val="24"/>
          <w:szCs w:val="24"/>
        </w:rPr>
      </w:pPr>
      <w:r>
        <w:drawing>
          <wp:inline distT="0" distB="0" distL="0" distR="0">
            <wp:extent cx="4679950" cy="145161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4877850" cy="1513267"/>
                    </a:xfrm>
                    <a:prstGeom prst="rect">
                      <a:avLst/>
                    </a:prstGeom>
                  </pic:spPr>
                </pic:pic>
              </a:graphicData>
            </a:graphic>
          </wp:inline>
        </w:drawing>
      </w:r>
    </w:p>
    <w:p>
      <w:pPr>
        <w:widowControl/>
        <w:shd w:val="clear" w:color="auto" w:fill="FFFFFF"/>
        <w:spacing w:after="156" w:line="400" w:lineRule="atLeast"/>
        <w:jc w:val="center"/>
        <w:rPr>
          <w:rFonts w:ascii="Times New Roman" w:hAnsi="Times New Roman" w:eastAsia="宋体" w:cs="宋体"/>
          <w:color w:val="000000"/>
          <w:kern w:val="0"/>
          <w:sz w:val="24"/>
          <w:szCs w:val="24"/>
        </w:rPr>
      </w:pPr>
      <w:r>
        <w:rPr>
          <w:rFonts w:hint="eastAsia" w:ascii="Times New Roman" w:hAnsi="Times New Roman" w:eastAsia="楷体" w:cs="宋体"/>
          <w:color w:val="000000"/>
          <w:kern w:val="0"/>
          <w:szCs w:val="21"/>
        </w:rPr>
        <w:t>图</w:t>
      </w:r>
      <w:r>
        <w:rPr>
          <w:rFonts w:ascii="Times New Roman" w:hAnsi="Times New Roman" w:eastAsia="楷体" w:cs="宋体"/>
          <w:color w:val="000000"/>
          <w:kern w:val="0"/>
          <w:szCs w:val="21"/>
        </w:rPr>
        <w:t>4</w:t>
      </w:r>
      <w:r>
        <w:rPr>
          <w:rFonts w:hint="eastAsia" w:ascii="Times New Roman" w:hAnsi="Times New Roman" w:eastAsia="楷体" w:cs="宋体"/>
          <w:color w:val="000000"/>
          <w:kern w:val="0"/>
          <w:szCs w:val="21"/>
        </w:rPr>
        <w:t xml:space="preserve"> 相关施引文献涉及的中国</w:t>
      </w:r>
      <w:r>
        <w:rPr>
          <w:rFonts w:ascii="Times New Roman" w:hAnsi="Times New Roman" w:eastAsia="楷体" w:cs="宋体"/>
          <w:color w:val="000000"/>
          <w:kern w:val="0"/>
          <w:szCs w:val="21"/>
        </w:rPr>
        <w:t>TOP10</w:t>
      </w:r>
      <w:r>
        <w:rPr>
          <w:rFonts w:hint="eastAsia" w:ascii="Times New Roman" w:hAnsi="Times New Roman" w:eastAsia="楷体" w:cs="宋体"/>
          <w:color w:val="000000"/>
          <w:kern w:val="0"/>
          <w:szCs w:val="21"/>
        </w:rPr>
        <w:t>机构</w:t>
      </w:r>
    </w:p>
    <w:p>
      <w:pPr>
        <w:widowControl/>
        <w:ind w:firstLine="708" w:firstLineChars="295"/>
        <w:jc w:val="left"/>
        <w:rPr>
          <w:rFonts w:ascii="宋体" w:hAnsi="宋体" w:eastAsia="宋体" w:cs="宋体"/>
          <w:kern w:val="0"/>
          <w:sz w:val="24"/>
          <w:szCs w:val="24"/>
        </w:rPr>
      </w:pPr>
      <w:r>
        <w:rPr>
          <w:rFonts w:hint="eastAsia" w:ascii="宋体" w:hAnsi="宋体" w:eastAsia="宋体" w:cs="宋体"/>
          <w:kern w:val="0"/>
          <w:sz w:val="24"/>
          <w:szCs w:val="24"/>
        </w:rPr>
        <w:t>根据来自相关主题施引文献的关键词进行词频统计，得到高频关键词词云，出现频率最高的包括点击化学（</w:t>
      </w:r>
      <w:r>
        <w:rPr>
          <w:rFonts w:ascii="宋体" w:hAnsi="宋体" w:eastAsia="宋体" w:cs="宋体"/>
          <w:kern w:val="0"/>
          <w:sz w:val="24"/>
          <w:szCs w:val="24"/>
        </w:rPr>
        <w:t>7602</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）、环加成反应（2407</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）、叠氮化物（2</w:t>
      </w:r>
      <w:r>
        <w:rPr>
          <w:rFonts w:ascii="宋体" w:hAnsi="宋体" w:eastAsia="宋体" w:cs="宋体"/>
          <w:kern w:val="0"/>
          <w:sz w:val="24"/>
          <w:szCs w:val="24"/>
        </w:rPr>
        <w:t>286</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）、末端炔烃（2</w:t>
      </w:r>
      <w:r>
        <w:rPr>
          <w:rFonts w:ascii="宋体" w:hAnsi="宋体" w:eastAsia="宋体" w:cs="宋体"/>
          <w:kern w:val="0"/>
          <w:sz w:val="24"/>
          <w:szCs w:val="24"/>
        </w:rPr>
        <w:t>252</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）、叠氮炔环加成（1</w:t>
      </w:r>
      <w:r>
        <w:rPr>
          <w:rFonts w:ascii="宋体" w:hAnsi="宋体" w:eastAsia="宋体" w:cs="宋体"/>
          <w:kern w:val="0"/>
          <w:sz w:val="24"/>
          <w:szCs w:val="24"/>
        </w:rPr>
        <w:t>122</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）、纳米颗粒（8</w:t>
      </w:r>
      <w:r>
        <w:rPr>
          <w:rFonts w:ascii="宋体" w:hAnsi="宋体" w:eastAsia="宋体" w:cs="宋体"/>
          <w:kern w:val="0"/>
          <w:sz w:val="24"/>
          <w:szCs w:val="24"/>
        </w:rPr>
        <w:t>55</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）、1-2-3唑（6</w:t>
      </w:r>
      <w:r>
        <w:rPr>
          <w:rFonts w:ascii="宋体" w:hAnsi="宋体" w:eastAsia="宋体" w:cs="宋体"/>
          <w:kern w:val="0"/>
          <w:sz w:val="24"/>
          <w:szCs w:val="24"/>
        </w:rPr>
        <w:t>32</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）、嵌段共聚物（6</w:t>
      </w:r>
      <w:r>
        <w:rPr>
          <w:rFonts w:ascii="宋体" w:hAnsi="宋体" w:eastAsia="宋体" w:cs="宋体"/>
          <w:kern w:val="0"/>
          <w:sz w:val="24"/>
          <w:szCs w:val="24"/>
        </w:rPr>
        <w:t>27</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）、糖基化（4</w:t>
      </w:r>
      <w:r>
        <w:rPr>
          <w:rFonts w:ascii="宋体" w:hAnsi="宋体" w:eastAsia="宋体" w:cs="宋体"/>
          <w:kern w:val="0"/>
          <w:sz w:val="24"/>
          <w:szCs w:val="24"/>
        </w:rPr>
        <w:t>39</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），生物正交化学（2</w:t>
      </w:r>
      <w:r>
        <w:rPr>
          <w:rFonts w:ascii="宋体" w:hAnsi="宋体" w:eastAsia="宋体" w:cs="宋体"/>
          <w:kern w:val="0"/>
          <w:sz w:val="24"/>
          <w:szCs w:val="24"/>
        </w:rPr>
        <w:t>54</w:t>
      </w:r>
      <w:r>
        <w:rPr>
          <w:rFonts w:hint="eastAsia" w:ascii="宋体" w:hAnsi="宋体" w:eastAsia="宋体" w:cs="宋体"/>
          <w:kern w:val="0"/>
          <w:sz w:val="24"/>
          <w:szCs w:val="24"/>
          <w:lang w:eastAsia="zh-Hans"/>
        </w:rPr>
        <w:t>次</w:t>
      </w:r>
      <w:r>
        <w:rPr>
          <w:rFonts w:hint="eastAsia" w:ascii="宋体" w:hAnsi="宋体" w:eastAsia="宋体" w:cs="宋体"/>
          <w:kern w:val="0"/>
          <w:sz w:val="24"/>
          <w:szCs w:val="24"/>
        </w:rPr>
        <w:t>）等。详见图5。</w:t>
      </w:r>
    </w:p>
    <w:p>
      <w:pPr>
        <w:widowControl/>
        <w:ind w:firstLine="708" w:firstLineChars="295"/>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4999355" cy="17799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99355" cy="1779905"/>
                    </a:xfrm>
                    <a:prstGeom prst="rect">
                      <a:avLst/>
                    </a:prstGeom>
                    <a:noFill/>
                  </pic:spPr>
                </pic:pic>
              </a:graphicData>
            </a:graphic>
          </wp:inline>
        </w:drawing>
      </w:r>
    </w:p>
    <w:p>
      <w:pPr>
        <w:widowControl/>
        <w:shd w:val="clear" w:color="auto" w:fill="FFFFFF"/>
        <w:spacing w:after="156" w:line="400" w:lineRule="atLeast"/>
        <w:jc w:val="center"/>
        <w:rPr>
          <w:rFonts w:ascii="Times New Roman" w:hAnsi="Times New Roman" w:eastAsia="楷体" w:cs="宋体"/>
          <w:color w:val="000000"/>
          <w:kern w:val="0"/>
          <w:szCs w:val="21"/>
        </w:rPr>
      </w:pPr>
      <w:r>
        <w:rPr>
          <w:rFonts w:hint="eastAsia" w:ascii="Times New Roman" w:hAnsi="Times New Roman" w:eastAsia="楷体" w:cs="宋体"/>
          <w:color w:val="000000"/>
          <w:kern w:val="0"/>
          <w:szCs w:val="21"/>
        </w:rPr>
        <w:t>图5 全球施引文献的关键词词云图</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图6为关键词共现聚类时线图，该图通过关键词共现的频次反映主题间的关系以及时间发展情况，可见2012年以来施引文献的关键词聚类主要集中在5-取代-1H-四唑、点击化学、活体细胞、唾液酸、生物评价等，详见图6。</w:t>
      </w:r>
    </w:p>
    <w:p>
      <w:pPr>
        <w:widowControl/>
        <w:shd w:val="clear" w:color="auto" w:fill="FFFFFF"/>
        <w:spacing w:after="156" w:line="400" w:lineRule="atLeast"/>
        <w:ind w:firstLine="480"/>
        <w:jc w:val="both"/>
        <w:rPr>
          <w:rFonts w:ascii="Times New Roman" w:hAnsi="Times New Roman" w:eastAsia="宋体" w:cs="宋体"/>
          <w:color w:val="000000"/>
          <w:kern w:val="0"/>
          <w:sz w:val="24"/>
          <w:szCs w:val="24"/>
        </w:rPr>
      </w:pPr>
      <w:r>
        <w:rPr>
          <w:rFonts w:ascii="Times New Roman" w:hAnsi="Times New Roman" w:eastAsia="宋体" w:cs="宋体"/>
          <w:color w:val="000000"/>
          <w:kern w:val="0"/>
          <w:sz w:val="24"/>
          <w:szCs w:val="24"/>
        </w:rPr>
        <w:drawing>
          <wp:inline distT="0" distB="0" distL="0" distR="0">
            <wp:extent cx="6252845" cy="2924810"/>
            <wp:effectExtent l="0" t="0" r="20955" b="215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252845" cy="2924810"/>
                    </a:xfrm>
                    <a:prstGeom prst="rect">
                      <a:avLst/>
                    </a:prstGeom>
                    <a:noFill/>
                  </pic:spPr>
                </pic:pic>
              </a:graphicData>
            </a:graphic>
          </wp:inline>
        </w:drawing>
      </w:r>
    </w:p>
    <w:p>
      <w:pPr>
        <w:widowControl/>
        <w:shd w:val="clear" w:color="auto" w:fill="FFFFFF"/>
        <w:spacing w:after="156" w:line="400" w:lineRule="atLeast"/>
        <w:jc w:val="center"/>
        <w:rPr>
          <w:rFonts w:ascii="Times New Roman" w:hAnsi="Times New Roman" w:eastAsia="楷体" w:cs="宋体"/>
          <w:color w:val="000000"/>
          <w:kern w:val="0"/>
          <w:szCs w:val="21"/>
        </w:rPr>
      </w:pPr>
      <w:r>
        <w:rPr>
          <w:rFonts w:hint="eastAsia" w:ascii="Times New Roman" w:hAnsi="Times New Roman" w:eastAsia="楷体" w:cs="宋体"/>
          <w:color w:val="000000"/>
          <w:kern w:val="0"/>
          <w:szCs w:val="21"/>
        </w:rPr>
        <w:t>图6 2012-2022年全球施引文献的关键词聚类时线图</w:t>
      </w:r>
    </w:p>
    <w:p>
      <w:pPr>
        <w:widowControl/>
        <w:shd w:val="clear" w:color="auto" w:fill="FFFFFF"/>
        <w:spacing w:after="156" w:line="400" w:lineRule="atLeast"/>
        <w:ind w:firstLine="480"/>
        <w:jc w:val="left"/>
        <w:rPr>
          <w:rStyle w:val="11"/>
          <w:color w:val="000000"/>
          <w:sz w:val="24"/>
          <w:szCs w:val="24"/>
          <w:shd w:val="clear" w:color="auto" w:fill="FFFFFF"/>
        </w:rPr>
      </w:pPr>
      <w:r>
        <w:rPr>
          <w:rStyle w:val="11"/>
          <w:rFonts w:hint="eastAsia"/>
          <w:color w:val="000000"/>
          <w:sz w:val="24"/>
          <w:szCs w:val="24"/>
          <w:shd w:val="clear" w:color="auto" w:fill="FFFFFF"/>
        </w:rPr>
        <w:t>三、相关主题高影响力论文</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近10年的</w:t>
      </w:r>
      <w:r>
        <w:rPr>
          <w:rFonts w:hint="eastAsia" w:ascii="Times New Roman" w:hAnsi="Times New Roman" w:eastAsia="宋体" w:cs="宋体"/>
          <w:kern w:val="0"/>
          <w:sz w:val="24"/>
          <w:szCs w:val="24"/>
        </w:rPr>
        <w:t>诺贝尔获奖者相关主题学术论文中，</w:t>
      </w:r>
      <w:r>
        <w:rPr>
          <w:rFonts w:hint="eastAsia" w:ascii="Times New Roman" w:hAnsi="Times New Roman" w:eastAsia="宋体" w:cs="宋体"/>
          <w:color w:val="000000"/>
          <w:kern w:val="0"/>
          <w:sz w:val="24"/>
          <w:szCs w:val="24"/>
        </w:rPr>
        <w:t>ESI高被引论文15篇，论文信息如下，其中中国作者发文见文献[8]和[15]。</w:t>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AgarwaL P, Bertozzi C R. </w:t>
      </w:r>
      <w:r>
        <w:rPr>
          <w:u w:val="none"/>
        </w:rPr>
        <w:fldChar w:fldCharType="begin"/>
      </w:r>
      <w:r>
        <w:rPr>
          <w:u w:val="none"/>
        </w:rPr>
        <w:instrText xml:space="preserve"> HYPERLINK "https://pubs.acs.org/doi/10.1021/bc5004982" </w:instrText>
      </w:r>
      <w:r>
        <w:rPr>
          <w:u w:val="none"/>
        </w:rPr>
        <w:fldChar w:fldCharType="separate"/>
      </w:r>
      <w:r>
        <w:rPr>
          <w:rStyle w:val="13"/>
          <w:rFonts w:ascii="Times New Roman" w:hAnsi="Times New Roman" w:cs="Times New Roman"/>
          <w:sz w:val="24"/>
          <w:szCs w:val="24"/>
          <w:u w:val="none"/>
        </w:rPr>
        <w:t>Site-Specific Antibody-Drug Conjugates: The Nexus of Biciorthogonal Chemistry, Protein Engineering, and Drug Development</w:t>
      </w:r>
      <w:r>
        <w:rPr>
          <w:rStyle w:val="13"/>
          <w:rFonts w:ascii="Times New Roman" w:hAnsi="Times New Roman" w:cs="Times New Roman"/>
          <w:sz w:val="24"/>
          <w:szCs w:val="24"/>
          <w:u w:val="none"/>
        </w:rPr>
        <w:fldChar w:fldCharType="end"/>
      </w:r>
      <w:r>
        <w:rPr>
          <w:rFonts w:ascii="Times New Roman" w:hAnsi="Times New Roman" w:cs="Times New Roman"/>
          <w:color w:val="000000" w:themeColor="text1"/>
          <w:sz w:val="24"/>
          <w:szCs w:val="24"/>
          <w14:textFill>
            <w14:solidFill>
              <w14:schemeClr w14:val="tx1"/>
            </w14:solidFill>
          </w14:textFill>
        </w:rPr>
        <w:t>[J]. Bioconjugate Chemistry, 2015, 26(2): 176-92.</w:t>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 Ahn G, Banik S M, Miller C L, et al. </w:t>
      </w:r>
      <w:r>
        <w:rPr>
          <w:rFonts w:ascii="Times New Roman" w:hAnsi="Times New Roman" w:cs="Times New Roman"/>
          <w:color w:val="000000" w:themeColor="text1"/>
          <w:sz w:val="24"/>
          <w:szCs w:val="24"/>
          <w:u w:val="none"/>
          <w14:textFill>
            <w14:solidFill>
              <w14:schemeClr w14:val="tx1"/>
            </w14:solidFill>
          </w14:textFill>
        </w:rPr>
        <w:t>LYTACs that Engage the Asialoglycoprotein Receptor for Targeted Protein Degradation</w:t>
      </w:r>
      <w:r>
        <w:rPr>
          <w:rFonts w:ascii="Times New Roman" w:hAnsi="Times New Roman" w:cs="Times New Roman"/>
          <w:color w:val="000000" w:themeColor="text1"/>
          <w:sz w:val="24"/>
          <w:szCs w:val="24"/>
          <w14:textFill>
            <w14:solidFill>
              <w14:schemeClr w14:val="tx1"/>
            </w14:solidFill>
          </w14:textFill>
        </w:rPr>
        <w:t>[J]. Nature Chemical Biology, 2021, 17(9): 937-46.</w:t>
      </w:r>
    </w:p>
    <w:p>
      <w:pPr>
        <w:rPr>
          <w:rFonts w:ascii="Times New Roman" w:hAnsi="Times New Roman" w:cs="Times New Roman"/>
          <w:color w:val="000000" w:themeColor="text1"/>
          <w:sz w:val="24"/>
          <w:szCs w:val="24"/>
          <w:lang w:val="nb-NO"/>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 Banik S M, Pedram K, Wisnovsky S, et al. </w:t>
      </w:r>
      <w:r>
        <w:rPr>
          <w:u w:val="none"/>
        </w:rPr>
        <w:fldChar w:fldCharType="begin"/>
      </w:r>
      <w:r>
        <w:rPr>
          <w:u w:val="none"/>
        </w:rPr>
        <w:instrText xml:space="preserve"> HYPERLINK "https://www.nature.com/articles/s41586-020-2545-9" </w:instrText>
      </w:r>
      <w:r>
        <w:rPr>
          <w:u w:val="none"/>
        </w:rPr>
        <w:fldChar w:fldCharType="separate"/>
      </w:r>
      <w:r>
        <w:rPr>
          <w:rStyle w:val="13"/>
          <w:rFonts w:ascii="Times New Roman" w:hAnsi="Times New Roman" w:cs="Times New Roman"/>
          <w:color w:val="000000" w:themeColor="text1"/>
          <w:sz w:val="24"/>
          <w:szCs w:val="24"/>
          <w:u w:val="none"/>
          <w14:textFill>
            <w14:solidFill>
              <w14:schemeClr w14:val="tx1"/>
            </w14:solidFill>
          </w14:textFill>
        </w:rPr>
        <w:t>Lysosome-Targeting Chimaeras for Degradation of Extracellular Proteins</w:t>
      </w:r>
      <w:r>
        <w:rPr>
          <w:rStyle w:val="13"/>
          <w:rFonts w:ascii="Times New Roman" w:hAnsi="Times New Roman" w:cs="Times New Roman"/>
          <w:color w:val="000000" w:themeColor="text1"/>
          <w:sz w:val="24"/>
          <w:szCs w:val="24"/>
          <w:u w:val="non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[J]. </w:t>
      </w:r>
      <w:r>
        <w:rPr>
          <w:rFonts w:ascii="Times New Roman" w:hAnsi="Times New Roman" w:cs="Times New Roman"/>
          <w:color w:val="000000" w:themeColor="text1"/>
          <w:sz w:val="24"/>
          <w:szCs w:val="24"/>
          <w:lang w:val="nb-NO"/>
          <w14:textFill>
            <w14:solidFill>
              <w14:schemeClr w14:val="tx1"/>
            </w14:solidFill>
          </w14:textFill>
        </w:rPr>
        <w:t>Nature, 2020, 584(7820): 291-297.</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lang w:val="nb-NO"/>
          <w14:textFill>
            <w14:solidFill>
              <w14:schemeClr w14:val="tx1"/>
            </w14:solidFill>
          </w14:textFill>
        </w:rPr>
        <w:t xml:space="preserve">[4] Dong J J, Krasnova L, Finn M G, et al. </w:t>
      </w:r>
      <w:r>
        <w:rPr>
          <w:highlight w:val="none"/>
          <w:u w:val="none"/>
        </w:rPr>
        <w:fldChar w:fldCharType="begin"/>
      </w:r>
      <w:r>
        <w:rPr>
          <w:highlight w:val="none"/>
          <w:u w:val="none"/>
        </w:rPr>
        <w:instrText xml:space="preserve"> HYPERLINK "https://onlinelibrary.wiley.com/doi/10.1002/anie.201309399" </w:instrText>
      </w:r>
      <w:r>
        <w:rPr>
          <w:highlight w:val="none"/>
          <w:u w:val="none"/>
        </w:rPr>
        <w:fldChar w:fldCharType="separate"/>
      </w:r>
      <w:r>
        <w:rPr>
          <w:rStyle w:val="13"/>
          <w:rFonts w:ascii="Times New Roman" w:hAnsi="Times New Roman" w:cs="Times New Roman"/>
          <w:color w:val="000000" w:themeColor="text1"/>
          <w:sz w:val="24"/>
          <w:szCs w:val="24"/>
          <w:highlight w:val="none"/>
          <w:u w:val="none"/>
          <w14:textFill>
            <w14:solidFill>
              <w14:schemeClr w14:val="tx1"/>
            </w14:solidFill>
          </w14:textFill>
        </w:rPr>
        <w:t>Sulfur(VI) Fluoride Exchange (SuFEx): Another Good Reaction for Click Chemistry</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Angewandte Chemie-International Edition, 2014, 53(36): 9430-9448.</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 Flynn R A, Belk J A, Qi Y Y, et al. </w:t>
      </w:r>
      <w:r>
        <w:rPr>
          <w:highlight w:val="none"/>
          <w:u w:val="none"/>
        </w:rPr>
        <w:fldChar w:fldCharType="begin"/>
      </w:r>
      <w:r>
        <w:rPr>
          <w:highlight w:val="none"/>
          <w:u w:val="none"/>
        </w:rPr>
        <w:instrText xml:space="preserve"> HYPERLINK "https://www.sciencedirect.com/science/article/pii/S009286742100297X?via%3Dihub" </w:instrText>
      </w:r>
      <w:r>
        <w:rPr>
          <w:highlight w:val="none"/>
          <w:u w:val="none"/>
        </w:rPr>
        <w:fldChar w:fldCharType="separate"/>
      </w:r>
      <w:r>
        <w:rPr>
          <w:rStyle w:val="12"/>
          <w:rFonts w:ascii="Times New Roman" w:hAnsi="Times New Roman" w:cs="Times New Roman"/>
          <w:color w:val="000000" w:themeColor="text1"/>
          <w:sz w:val="24"/>
          <w:szCs w:val="24"/>
          <w:highlight w:val="none"/>
          <w:u w:val="none"/>
          <w14:textFill>
            <w14:solidFill>
              <w14:schemeClr w14:val="tx1"/>
            </w14:solidFill>
          </w14:textFill>
        </w:rPr>
        <w:t>Discovery and Functional Interrogation of SARS-CoV-2 RNA-host Protein Interactions</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Cell, 2021, 184(9): 2394-2411.e16.</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[6] Flynn R A, Pedram K, Malaker S A, et al. </w:t>
      </w:r>
      <w:r>
        <w:rPr>
          <w:highlight w:val="none"/>
          <w:u w:val="none"/>
        </w:rPr>
        <w:fldChar w:fldCharType="begin"/>
      </w:r>
      <w:r>
        <w:rPr>
          <w:highlight w:val="none"/>
          <w:u w:val="none"/>
        </w:rPr>
        <w:instrText xml:space="preserve"> HYPERLINK "https://www.sciencedirect.com/science/article/pii/S0092867421005031?via%3Dihub" </w:instrText>
      </w:r>
      <w:r>
        <w:rPr>
          <w:highlight w:val="none"/>
          <w:u w:val="none"/>
        </w:rPr>
        <w:fldChar w:fldCharType="separate"/>
      </w:r>
      <w:r>
        <w:rPr>
          <w:rStyle w:val="12"/>
          <w:rFonts w:ascii="Times New Roman" w:hAnsi="Times New Roman" w:cs="Times New Roman"/>
          <w:color w:val="000000" w:themeColor="text1"/>
          <w:sz w:val="24"/>
          <w:szCs w:val="24"/>
          <w:highlight w:val="none"/>
          <w:u w:val="none"/>
          <w14:textFill>
            <w14:solidFill>
              <w14:schemeClr w14:val="tx1"/>
            </w14:solidFill>
          </w14:textFill>
        </w:rPr>
        <w:t>Small RNAs are Modified with N-glycans and Displayed on the Surface of Living Cells</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Cell, 2021, 184(12): 3109-3124.e2</w:t>
      </w:r>
      <w:r>
        <w:rPr>
          <w:rFonts w:hint="default" w:ascii="Times New Roman" w:hAnsi="Times New Roman" w:cs="Times New Roman"/>
          <w:color w:val="000000" w:themeColor="text1"/>
          <w:sz w:val="24"/>
          <w:szCs w:val="24"/>
          <w:highlight w:val="none"/>
          <w14:textFill>
            <w14:solidFill>
              <w14:schemeClr w14:val="tx1"/>
            </w14:solidFill>
          </w14:textFill>
        </w:rPr>
        <w:t>2</w:t>
      </w:r>
      <w:r>
        <w:rPr>
          <w:rFonts w:ascii="Times New Roman" w:hAnsi="Times New Roman" w:cs="Times New Roman"/>
          <w:color w:val="000000" w:themeColor="text1"/>
          <w:sz w:val="24"/>
          <w:szCs w:val="24"/>
          <w:highlight w:val="none"/>
          <w14:textFill>
            <w14:solidFill>
              <w14:schemeClr w14:val="tx1"/>
            </w14:solidFill>
          </w14:textFill>
        </w:rPr>
        <w:t>.</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lang w:val="nb-NO"/>
          <w14:textFill>
            <w14:solidFill>
              <w14:schemeClr w14:val="tx1"/>
            </w14:solidFill>
          </w14:textFill>
        </w:rPr>
        <w:t xml:space="preserve">[7] Marschallinger J, Iram T, Zardeneta M, et al. </w:t>
      </w:r>
      <w:r>
        <w:rPr>
          <w:highlight w:val="none"/>
          <w:u w:val="none"/>
        </w:rPr>
        <w:fldChar w:fldCharType="begin"/>
      </w:r>
      <w:r>
        <w:rPr>
          <w:highlight w:val="none"/>
          <w:u w:val="none"/>
        </w:rPr>
        <w:instrText xml:space="preserve"> HYPERLINK "https://www.nature.com/articles/s41593-019-0566-1" </w:instrText>
      </w:r>
      <w:r>
        <w:rPr>
          <w:highlight w:val="none"/>
          <w:u w:val="none"/>
        </w:rPr>
        <w:fldChar w:fldCharType="separate"/>
      </w:r>
      <w:r>
        <w:rPr>
          <w:rStyle w:val="13"/>
          <w:rFonts w:ascii="Times New Roman" w:hAnsi="Times New Roman" w:cs="Times New Roman"/>
          <w:color w:val="000000" w:themeColor="text1"/>
          <w:sz w:val="24"/>
          <w:szCs w:val="24"/>
          <w:highlight w:val="none"/>
          <w:u w:val="none"/>
          <w14:textFill>
            <w14:solidFill>
              <w14:schemeClr w14:val="tx1"/>
            </w14:solidFill>
          </w14:textFill>
        </w:rPr>
        <w:t>Lipid-droplet-accumulating Microglia Represent a Dysfunctional and Proinflammatory State in the Aging Brain</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Nature Neuroscience, 2020, 23(2): 194-208.</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[8] Meng G Y, Guo T J, Ma T C, et al. </w:t>
      </w:r>
      <w:r>
        <w:rPr>
          <w:highlight w:val="none"/>
          <w:u w:val="none"/>
        </w:rPr>
        <w:fldChar w:fldCharType="begin"/>
      </w:r>
      <w:r>
        <w:rPr>
          <w:highlight w:val="none"/>
          <w:u w:val="none"/>
        </w:rPr>
        <w:instrText xml:space="preserve"> HYPERLINK "https://www.nature.com/articles/s41586-019-1589-1" </w:instrText>
      </w:r>
      <w:r>
        <w:rPr>
          <w:highlight w:val="none"/>
          <w:u w:val="none"/>
        </w:rPr>
        <w:fldChar w:fldCharType="separate"/>
      </w:r>
      <w:r>
        <w:rPr>
          <w:rStyle w:val="13"/>
          <w:rFonts w:ascii="Times New Roman" w:hAnsi="Times New Roman" w:cs="Times New Roman"/>
          <w:color w:val="000000" w:themeColor="text1"/>
          <w:sz w:val="24"/>
          <w:szCs w:val="24"/>
          <w:highlight w:val="none"/>
          <w:u w:val="none"/>
          <w14:textFill>
            <w14:solidFill>
              <w14:schemeClr w14:val="tx1"/>
            </w14:solidFill>
          </w14:textFill>
        </w:rPr>
        <w:t>Modular Click Chemistry Libraries for Functional Screens Using a Diazotizing Reagent</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Nature, 2019, 574(7776): 86-89.</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[9] Neelamegham S, Aoki-Kinoshita K, Bolton E, et al. </w:t>
      </w:r>
      <w:r>
        <w:rPr>
          <w:highlight w:val="none"/>
          <w:u w:val="none"/>
        </w:rPr>
        <w:fldChar w:fldCharType="begin"/>
      </w:r>
      <w:r>
        <w:rPr>
          <w:highlight w:val="none"/>
          <w:u w:val="none"/>
        </w:rPr>
        <w:instrText xml:space="preserve"> HYPERLINK "https://academic.oup.com/glycob/article/29/9/620/5513705?login=true" </w:instrText>
      </w:r>
      <w:r>
        <w:rPr>
          <w:highlight w:val="none"/>
          <w:u w:val="none"/>
        </w:rPr>
        <w:fldChar w:fldCharType="separate"/>
      </w:r>
      <w:r>
        <w:rPr>
          <w:rStyle w:val="13"/>
          <w:rFonts w:ascii="Times New Roman" w:hAnsi="Times New Roman" w:cs="Times New Roman"/>
          <w:color w:val="000000" w:themeColor="text1"/>
          <w:sz w:val="24"/>
          <w:szCs w:val="24"/>
          <w:highlight w:val="none"/>
          <w:u w:val="none"/>
          <w14:textFill>
            <w14:solidFill>
              <w14:schemeClr w14:val="tx1"/>
            </w14:solidFill>
          </w14:textFill>
        </w:rPr>
        <w:t>Updates to the Symbol Nomenclature for Glycans Guidelines</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Glycobiology, 2019, 29(9): 620-624.</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[10] Paszek M J, Dufort C C, Rossier O, et al. </w:t>
      </w:r>
      <w:r>
        <w:rPr>
          <w:highlight w:val="none"/>
          <w:u w:val="none"/>
        </w:rPr>
        <w:fldChar w:fldCharType="begin"/>
      </w:r>
      <w:r>
        <w:rPr>
          <w:highlight w:val="none"/>
          <w:u w:val="none"/>
        </w:rPr>
        <w:instrText xml:space="preserve"> HYPERLINK "https://www.nature.com/articles/nature13535" </w:instrText>
      </w:r>
      <w:r>
        <w:rPr>
          <w:highlight w:val="none"/>
          <w:u w:val="none"/>
        </w:rPr>
        <w:fldChar w:fldCharType="separate"/>
      </w:r>
      <w:r>
        <w:rPr>
          <w:rStyle w:val="13"/>
          <w:rFonts w:ascii="Times New Roman" w:hAnsi="Times New Roman" w:cs="Times New Roman"/>
          <w:color w:val="000000" w:themeColor="text1"/>
          <w:sz w:val="24"/>
          <w:szCs w:val="24"/>
          <w:highlight w:val="none"/>
          <w:u w:val="none"/>
          <w14:textFill>
            <w14:solidFill>
              <w14:schemeClr w14:val="tx1"/>
            </w14:solidFill>
          </w14:textFill>
        </w:rPr>
        <w:t>The Cancer Glycocalyx Mechanically Primes Integrin-Mediated Growth and Survival</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Nature, 2014, 511(7509): 319-325.</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[11] Pluvinage J V, Haney M S, Smith B A H, et al. </w:t>
      </w:r>
      <w:r>
        <w:rPr>
          <w:highlight w:val="none"/>
          <w:u w:val="none"/>
        </w:rPr>
        <w:fldChar w:fldCharType="begin"/>
      </w:r>
      <w:r>
        <w:rPr>
          <w:highlight w:val="none"/>
          <w:u w:val="none"/>
        </w:rPr>
        <w:instrText xml:space="preserve"> HYPERLINK "https://www.nature.com/articles/s41586-019-1088-4" </w:instrText>
      </w:r>
      <w:r>
        <w:rPr>
          <w:highlight w:val="none"/>
          <w:u w:val="none"/>
        </w:rPr>
        <w:fldChar w:fldCharType="separate"/>
      </w:r>
      <w:r>
        <w:rPr>
          <w:rStyle w:val="13"/>
          <w:rFonts w:ascii="Times New Roman" w:hAnsi="Times New Roman" w:cs="Times New Roman"/>
          <w:color w:val="000000" w:themeColor="text1"/>
          <w:sz w:val="24"/>
          <w:szCs w:val="24"/>
          <w:highlight w:val="none"/>
          <w:u w:val="none"/>
          <w14:textFill>
            <w14:solidFill>
              <w14:schemeClr w14:val="tx1"/>
            </w14:solidFill>
          </w14:textFill>
        </w:rPr>
        <w:t>CD22 Blockade Restores Homeostatic Microglial Phagocytosis in Ageing Brains</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Nature, 2019, 568(7751): 187-192.</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[12] Riley N M, Bertozzi C R, Pitteri S J. </w:t>
      </w:r>
      <w:r>
        <w:rPr>
          <w:highlight w:val="none"/>
          <w:u w:val="none"/>
        </w:rPr>
        <w:fldChar w:fldCharType="begin"/>
      </w:r>
      <w:r>
        <w:rPr>
          <w:highlight w:val="none"/>
          <w:u w:val="none"/>
        </w:rPr>
        <w:instrText xml:space="preserve"> HYPERLINK "https://www.sciencedirect.com/science/article/pii/S1535947620351434?via%3Dihub" </w:instrText>
      </w:r>
      <w:r>
        <w:rPr>
          <w:highlight w:val="none"/>
          <w:u w:val="none"/>
        </w:rPr>
        <w:fldChar w:fldCharType="separate"/>
      </w:r>
      <w:r>
        <w:rPr>
          <w:rStyle w:val="12"/>
          <w:rFonts w:ascii="Times New Roman" w:hAnsi="Times New Roman" w:cs="Times New Roman"/>
          <w:color w:val="000000" w:themeColor="text1"/>
          <w:sz w:val="24"/>
          <w:szCs w:val="24"/>
          <w:highlight w:val="none"/>
          <w:u w:val="none"/>
          <w14:textFill>
            <w14:solidFill>
              <w14:schemeClr w14:val="tx1"/>
            </w14:solidFill>
          </w14:textFill>
        </w:rPr>
        <w:t>A</w:t>
      </w:r>
      <w:r>
        <w:rPr>
          <w:rStyle w:val="12"/>
          <w:rFonts w:hint="default" w:ascii="Times New Roman" w:hAnsi="Times New Roman" w:cs="Times New Roman"/>
          <w:color w:val="000000" w:themeColor="text1"/>
          <w:sz w:val="24"/>
          <w:szCs w:val="24"/>
          <w:highlight w:val="none"/>
          <w:u w:val="none"/>
          <w14:textFill>
            <w14:solidFill>
              <w14:schemeClr w14:val="tx1"/>
            </w14:solidFill>
          </w14:textFill>
        </w:rPr>
        <w:t xml:space="preserve"> </w:t>
      </w:r>
      <w:r>
        <w:rPr>
          <w:rStyle w:val="12"/>
          <w:rFonts w:ascii="Times New Roman" w:hAnsi="Times New Roman" w:cs="Times New Roman"/>
          <w:color w:val="000000" w:themeColor="text1"/>
          <w:sz w:val="24"/>
          <w:szCs w:val="24"/>
          <w:highlight w:val="none"/>
          <w:u w:val="none"/>
          <w14:textFill>
            <w14:solidFill>
              <w14:schemeClr w14:val="tx1"/>
            </w14:solidFill>
          </w14:textFill>
        </w:rPr>
        <w:t>Pragmatic Guide to Enrichment Strategies for Mass Spectrometry-Based Glycoproteomics</w:t>
      </w:r>
      <w:r>
        <w:rPr>
          <w:rStyle w:val="12"/>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Molecular &amp; Cellular Proteomics, 2021, 20(100029):1-28.</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[13] Smith B A H, Bertozzi C R. </w:t>
      </w:r>
      <w:r>
        <w:rPr>
          <w:highlight w:val="none"/>
          <w:u w:val="none"/>
        </w:rPr>
        <w:fldChar w:fldCharType="begin"/>
      </w:r>
      <w:r>
        <w:rPr>
          <w:highlight w:val="none"/>
          <w:u w:val="none"/>
        </w:rPr>
        <w:instrText xml:space="preserve"> HYPERLINK "https://www.nature.com/articles/s41573-020-00093-1" </w:instrText>
      </w:r>
      <w:r>
        <w:rPr>
          <w:highlight w:val="none"/>
          <w:u w:val="none"/>
        </w:rPr>
        <w:fldChar w:fldCharType="separate"/>
      </w:r>
      <w:r>
        <w:rPr>
          <w:rStyle w:val="13"/>
          <w:rFonts w:ascii="Times New Roman" w:hAnsi="Times New Roman" w:cs="Times New Roman"/>
          <w:color w:val="000000" w:themeColor="text1"/>
          <w:sz w:val="24"/>
          <w:szCs w:val="24"/>
          <w:highlight w:val="none"/>
          <w:u w:val="none"/>
          <w14:textFill>
            <w14:solidFill>
              <w14:schemeClr w14:val="tx1"/>
            </w14:solidFill>
          </w14:textFill>
        </w:rPr>
        <w:t>The Clinical Impact of Gycobiology: Targeting Selectins, Siglecs and Mammalian Glycans</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Nature Reviews Drug Discovery, 2021, 20(3): 217-243.</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[14] Theruvath J, Menard M, Smith B A H, et al. </w:t>
      </w:r>
      <w:r>
        <w:rPr>
          <w:highlight w:val="none"/>
          <w:u w:val="none"/>
        </w:rPr>
        <w:fldChar w:fldCharType="begin"/>
      </w:r>
      <w:r>
        <w:rPr>
          <w:highlight w:val="none"/>
          <w:u w:val="none"/>
        </w:rPr>
        <w:instrText xml:space="preserve"> HYPERLINK "https://www.nature.com/articles/s41591-021-01625-x" </w:instrText>
      </w:r>
      <w:r>
        <w:rPr>
          <w:highlight w:val="none"/>
          <w:u w:val="none"/>
        </w:rPr>
        <w:fldChar w:fldCharType="separate"/>
      </w:r>
      <w:r>
        <w:rPr>
          <w:rStyle w:val="13"/>
          <w:rFonts w:ascii="Times New Roman" w:hAnsi="Times New Roman" w:cs="Times New Roman"/>
          <w:color w:val="000000" w:themeColor="text1"/>
          <w:sz w:val="24"/>
          <w:szCs w:val="24"/>
          <w:highlight w:val="none"/>
          <w:u w:val="none"/>
          <w14:textFill>
            <w14:solidFill>
              <w14:schemeClr w14:val="tx1"/>
            </w14:solidFill>
          </w14:textFill>
        </w:rPr>
        <w:t>Anti-GD2 Synergizes with CD47 Blockade to Mediate Tumor Eradication</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Nature Medicine, 2022, 28(2): 333-344.</w:t>
      </w:r>
    </w:p>
    <w:p>
      <w:pPr>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[15] Zheng Q H, Xu H T, Wang H, et al. </w:t>
      </w:r>
      <w:r>
        <w:rPr>
          <w:highlight w:val="none"/>
          <w:u w:val="none"/>
        </w:rPr>
        <w:fldChar w:fldCharType="begin"/>
      </w:r>
      <w:r>
        <w:rPr>
          <w:highlight w:val="none"/>
          <w:u w:val="none"/>
        </w:rPr>
        <w:instrText xml:space="preserve"> HYPERLINK "https://pubs.acs.org/doi/10.1021/jacs.0c09306" </w:instrText>
      </w:r>
      <w:r>
        <w:rPr>
          <w:highlight w:val="none"/>
          <w:u w:val="none"/>
        </w:rPr>
        <w:fldChar w:fldCharType="separate"/>
      </w:r>
      <w:r>
        <w:rPr>
          <w:rStyle w:val="13"/>
          <w:rFonts w:ascii="Times New Roman" w:hAnsi="Times New Roman" w:cs="Times New Roman"/>
          <w:color w:val="000000" w:themeColor="text1"/>
          <w:sz w:val="24"/>
          <w:szCs w:val="24"/>
          <w:highlight w:val="none"/>
          <w:u w:val="none"/>
          <w14:textFill>
            <w14:solidFill>
              <w14:schemeClr w14:val="tx1"/>
            </w14:solidFill>
          </w14:textFill>
        </w:rPr>
        <w:t>Sulfur F-18 Fluoride Exchange Click Chemistry Enabled Ultrafast Late-Stage Radiosynthesis</w:t>
      </w:r>
      <w:r>
        <w:rPr>
          <w:rStyle w:val="13"/>
          <w:rFonts w:ascii="Times New Roman" w:hAnsi="Times New Roman" w:cs="Times New Roman"/>
          <w:color w:val="000000" w:themeColor="text1"/>
          <w:sz w:val="24"/>
          <w:szCs w:val="24"/>
          <w:highlight w:val="none"/>
          <w:u w:val="none"/>
          <w14:textFill>
            <w14:solidFill>
              <w14:schemeClr w14:val="tx1"/>
            </w14:solidFill>
          </w14:textFill>
        </w:rPr>
        <w:fldChar w:fldCharType="end"/>
      </w:r>
      <w:r>
        <w:rPr>
          <w:rFonts w:ascii="Times New Roman" w:hAnsi="Times New Roman" w:cs="Times New Roman"/>
          <w:color w:val="000000" w:themeColor="text1"/>
          <w:sz w:val="24"/>
          <w:szCs w:val="24"/>
          <w:highlight w:val="none"/>
          <w14:textFill>
            <w14:solidFill>
              <w14:schemeClr w14:val="tx1"/>
            </w14:solidFill>
          </w14:textFill>
        </w:rPr>
        <w:t>[J]. Journal of the American Chemical Society, 2021, 143(10): 3753-3763.</w:t>
      </w:r>
    </w:p>
    <w:p>
      <w:pPr>
        <w:widowControl/>
        <w:shd w:val="clear" w:color="auto" w:fill="FFFFFF"/>
        <w:spacing w:after="156" w:line="400" w:lineRule="atLeast"/>
        <w:ind w:firstLine="480"/>
        <w:jc w:val="left"/>
        <w:rPr>
          <w:rFonts w:ascii="Times New Roman" w:hAnsi="Times New Roman" w:eastAsia="宋体" w:cs="宋体"/>
          <w:color w:val="000000"/>
          <w:kern w:val="0"/>
          <w:sz w:val="24"/>
          <w:szCs w:val="24"/>
          <w:highlight w:val="none"/>
        </w:rPr>
      </w:pPr>
      <w:r>
        <w:rPr>
          <w:rStyle w:val="11"/>
          <w:rFonts w:hint="eastAsia"/>
          <w:color w:val="000000"/>
          <w:sz w:val="24"/>
          <w:szCs w:val="24"/>
          <w:highlight w:val="none"/>
          <w:shd w:val="clear" w:color="auto" w:fill="FFFFFF"/>
        </w:rPr>
        <w:t>四、高影响力施引文献</w:t>
      </w:r>
    </w:p>
    <w:p>
      <w:pPr>
        <w:widowControl/>
        <w:shd w:val="clear" w:color="auto" w:fill="FFFFFF"/>
        <w:spacing w:after="156" w:line="400" w:lineRule="atLeast"/>
        <w:ind w:firstLine="480"/>
        <w:jc w:val="left"/>
        <w:rPr>
          <w:rFonts w:ascii="楷体" w:hAnsi="楷体" w:eastAsia="楷体"/>
          <w:color w:val="000000"/>
          <w:sz w:val="24"/>
          <w:szCs w:val="24"/>
          <w:highlight w:val="none"/>
          <w:shd w:val="clear" w:color="auto" w:fill="FFFFFF"/>
        </w:rPr>
      </w:pPr>
      <w:r>
        <w:rPr>
          <w:rFonts w:hint="eastAsia" w:ascii="Times New Roman" w:hAnsi="Times New Roman" w:eastAsia="宋体" w:cs="宋体"/>
          <w:color w:val="000000"/>
          <w:kern w:val="0"/>
          <w:sz w:val="24"/>
          <w:szCs w:val="24"/>
          <w:highlight w:val="none"/>
        </w:rPr>
        <w:t>2020年来ESI高被引文献共14篇，论文信息如下，其中中国作者发文见文献[</w:t>
      </w:r>
      <w:r>
        <w:rPr>
          <w:rFonts w:ascii="Times New Roman" w:hAnsi="Times New Roman" w:eastAsia="宋体" w:cs="宋体"/>
          <w:color w:val="000000"/>
          <w:kern w:val="0"/>
          <w:sz w:val="24"/>
          <w:szCs w:val="24"/>
          <w:highlight w:val="none"/>
        </w:rPr>
        <w:t>5]、[7]、[11]和[14]</w:t>
      </w:r>
      <w:r>
        <w:rPr>
          <w:rFonts w:hint="eastAsia" w:ascii="楷体" w:hAnsi="楷体" w:eastAsia="楷体"/>
          <w:color w:val="000000"/>
          <w:sz w:val="24"/>
          <w:szCs w:val="24"/>
          <w:highlight w:val="none"/>
          <w:shd w:val="clear" w:color="auto" w:fill="FFFFFF"/>
        </w:rPr>
        <w:t>。</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color w:val="000000"/>
          <w:sz w:val="24"/>
          <w:szCs w:val="24"/>
          <w:highlight w:val="none"/>
        </w:rPr>
        <w:t>[1]</w:t>
      </w:r>
      <w:r>
        <w:rPr>
          <w:rFonts w:ascii="Times New Roman" w:hAnsi="Times New Roman" w:eastAsia="Times New Roman"/>
          <w:sz w:val="24"/>
          <w:szCs w:val="24"/>
          <w:highlight w:val="none"/>
        </w:rPr>
        <w:t xml:space="preserve"> Alamri M A, Ul Qamar M T, Mirza M U, et al. </w:t>
      </w:r>
      <w:r>
        <w:rPr>
          <w:highlight w:val="none"/>
          <w:u w:val="none"/>
        </w:rPr>
        <w:fldChar w:fldCharType="begin"/>
      </w:r>
      <w:r>
        <w:rPr>
          <w:highlight w:val="none"/>
          <w:u w:val="none"/>
        </w:rPr>
        <w:instrText xml:space="preserve"> HYPERLINK "https://www.tandfonline.com/doi/full/10.1080/07391102.2020.1782768" </w:instrText>
      </w:r>
      <w:r>
        <w:rPr>
          <w:highlight w:val="none"/>
          <w:u w:val="none"/>
        </w:rPr>
        <w:fldChar w:fldCharType="separate"/>
      </w:r>
      <w:r>
        <w:rPr>
          <w:rStyle w:val="13"/>
          <w:rFonts w:ascii="Times New Roman" w:hAnsi="Times New Roman" w:eastAsia="Times New Roman"/>
          <w:color w:val="auto"/>
          <w:sz w:val="24"/>
          <w:szCs w:val="24"/>
          <w:highlight w:val="none"/>
          <w:u w:val="none"/>
        </w:rPr>
        <w:t>Pharmacoinformatics and Molecular Dynamics Simulation Studies Reveal Potential Covalent and FDA-Approved Inhibitors of SARS-CoV-2 Main Protease 3CL(pro)</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 Journal of Biomolecular Structure &amp; Dynamics, 2021, 39(13): 4936-4948.</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lang w:val="nb-NO"/>
        </w:rPr>
        <w:t xml:space="preserve">[2] BOJAR D, MECHE L, MENG G M, et al. </w:t>
      </w:r>
      <w:r>
        <w:rPr>
          <w:highlight w:val="none"/>
          <w:u w:val="none"/>
        </w:rPr>
        <w:fldChar w:fldCharType="begin"/>
      </w:r>
      <w:r>
        <w:rPr>
          <w:highlight w:val="none"/>
          <w:u w:val="none"/>
        </w:rPr>
        <w:instrText xml:space="preserve"> HYPERLINK "https://pubs.acs.org/doi/10.1021/acschembio.1c00689" </w:instrText>
      </w:r>
      <w:r>
        <w:rPr>
          <w:highlight w:val="none"/>
          <w:u w:val="none"/>
        </w:rPr>
        <w:fldChar w:fldCharType="separate"/>
      </w:r>
      <w:r>
        <w:rPr>
          <w:rStyle w:val="13"/>
          <w:rFonts w:ascii="Times New Roman" w:hAnsi="Times New Roman" w:eastAsia="Times New Roman"/>
          <w:sz w:val="24"/>
          <w:szCs w:val="24"/>
          <w:highlight w:val="none"/>
          <w:u w:val="none"/>
        </w:rPr>
        <w:t>A Useful Guide to Lectin Binding: Machine-Learning Directed Annotation of 57 Unique Lectin Specificities</w:t>
      </w:r>
      <w:r>
        <w:rPr>
          <w:rStyle w:val="13"/>
          <w:rFonts w:ascii="Times New Roman" w:hAnsi="Times New Roman" w:eastAsia="Times New Roman"/>
          <w:sz w:val="24"/>
          <w:szCs w:val="24"/>
          <w:highlight w:val="none"/>
          <w:u w:val="none"/>
        </w:rPr>
        <w:fldChar w:fldCharType="end"/>
      </w:r>
      <w:r>
        <w:rPr>
          <w:rFonts w:ascii="Times New Roman" w:hAnsi="Times New Roman" w:eastAsia="Times New Roman"/>
          <w:sz w:val="24"/>
          <w:szCs w:val="24"/>
          <w:highlight w:val="none"/>
        </w:rPr>
        <w:t>[J]. Acs Chemical Biology, 2022, 17(11):2993–3012.</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rPr>
        <w:t xml:space="preserve">[3] Frye N L, Daniliuc C G, Studer A. </w:t>
      </w:r>
      <w:r>
        <w:rPr>
          <w:highlight w:val="none"/>
          <w:u w:val="none"/>
        </w:rPr>
        <w:fldChar w:fldCharType="begin"/>
      </w:r>
      <w:r>
        <w:rPr>
          <w:highlight w:val="none"/>
          <w:u w:val="none"/>
        </w:rPr>
        <w:instrText xml:space="preserve"> HYPERLINK "https://onlinelibrary.wiley.com/doi/10.1002/anie.202115593" </w:instrText>
      </w:r>
      <w:r>
        <w:rPr>
          <w:highlight w:val="none"/>
          <w:u w:val="none"/>
        </w:rPr>
        <w:fldChar w:fldCharType="separate"/>
      </w:r>
      <w:r>
        <w:rPr>
          <w:rStyle w:val="13"/>
          <w:rFonts w:ascii="Times New Roman" w:hAnsi="Times New Roman" w:eastAsia="Times New Roman"/>
          <w:color w:val="auto"/>
          <w:sz w:val="24"/>
          <w:szCs w:val="24"/>
          <w:highlight w:val="none"/>
          <w:u w:val="none"/>
        </w:rPr>
        <w:t>Radical 1-Fluorosulfonyl-2-alkynylation of Unactivated Alkenes</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[J/OL]. Angewandte Chemie-International Edition, 2022, 61(12).(2021-12-27)[2022-11-15].</w:t>
      </w:r>
      <w:r>
        <w:rPr>
          <w:highlight w:val="none"/>
        </w:rPr>
        <w:t xml:space="preserve"> </w:t>
      </w:r>
      <w:r>
        <w:rPr>
          <w:rFonts w:ascii="Times New Roman" w:hAnsi="Times New Roman" w:eastAsia="Times New Roman"/>
          <w:sz w:val="24"/>
          <w:szCs w:val="24"/>
          <w:highlight w:val="none"/>
        </w:rPr>
        <w:t xml:space="preserve">https://doi.org/10.1002/anie.202115593. </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rPr>
        <w:t>[4] Haufe G.</w:t>
      </w:r>
      <w:r>
        <w:rPr>
          <w:highlight w:val="none"/>
        </w:rPr>
        <w:fldChar w:fldCharType="begin"/>
      </w:r>
      <w:r>
        <w:rPr>
          <w:highlight w:val="none"/>
        </w:rPr>
        <w:instrText xml:space="preserve"> HYPERLINK "https://www.sciencedirect.com/science/article/pii/S0040402022000333?via%3Dihub" </w:instrText>
      </w:r>
      <w:r>
        <w:rPr>
          <w:highlight w:val="none"/>
        </w:rPr>
        <w:fldChar w:fldCharType="separate"/>
      </w:r>
      <w:r>
        <w:rPr>
          <w:rStyle w:val="13"/>
          <w:rFonts w:ascii="Times New Roman" w:hAnsi="Times New Roman" w:eastAsia="Times New Roman"/>
          <w:color w:val="auto"/>
          <w:sz w:val="24"/>
          <w:szCs w:val="24"/>
          <w:highlight w:val="none"/>
        </w:rPr>
        <w:t xml:space="preserve"> </w:t>
      </w:r>
      <w:r>
        <w:rPr>
          <w:rStyle w:val="13"/>
          <w:rFonts w:ascii="Times New Roman" w:hAnsi="Times New Roman" w:eastAsia="Times New Roman"/>
          <w:color w:val="auto"/>
          <w:sz w:val="24"/>
          <w:szCs w:val="24"/>
          <w:highlight w:val="none"/>
          <w:u w:val="none"/>
        </w:rPr>
        <w:t>Synthesis and Application of Pentafluorosulfanylation Reagents and Derived Aliphatic SF5-containing Building Blocks</w:t>
      </w:r>
      <w:r>
        <w:rPr>
          <w:rStyle w:val="13"/>
          <w:rFonts w:ascii="Times New Roman" w:hAnsi="Times New Roman" w:eastAsia="Times New Roman"/>
          <w:color w:val="auto"/>
          <w:sz w:val="24"/>
          <w:szCs w:val="24"/>
          <w:highlight w:val="none"/>
        </w:rPr>
        <w:fldChar w:fldCharType="end"/>
      </w:r>
      <w:r>
        <w:rPr>
          <w:rFonts w:ascii="Times New Roman" w:hAnsi="Times New Roman" w:eastAsia="Times New Roman"/>
          <w:sz w:val="24"/>
          <w:szCs w:val="24"/>
          <w:highlight w:val="none"/>
        </w:rPr>
        <w:t>[J/OL]. Tetrahedron, 2022, 109.(2022-3-12)[2022-11-15].</w:t>
      </w:r>
      <w:r>
        <w:rPr>
          <w:rFonts w:ascii="Times New Roman" w:hAnsi="Times New Roman" w:cs="Times New Roman"/>
          <w:sz w:val="24"/>
          <w:szCs w:val="24"/>
          <w:highlight w:val="none"/>
        </w:rPr>
        <w:t xml:space="preserve"> https://doi.org/10.1016/j.tet.2022.132656</w:t>
      </w:r>
      <w:r>
        <w:rPr>
          <w:rFonts w:ascii="Times New Roman" w:hAnsi="Times New Roman" w:eastAsia="Times New Roman" w:cs="Times New Roman"/>
          <w:sz w:val="24"/>
          <w:szCs w:val="24"/>
          <w:highlight w:val="none"/>
        </w:rPr>
        <w:t>.</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rPr>
        <w:t xml:space="preserve">[5] Ma Z H, Liu Y A, Ma X Y, et al. </w:t>
      </w:r>
      <w:r>
        <w:rPr>
          <w:highlight w:val="none"/>
          <w:u w:val="none"/>
        </w:rPr>
        <w:fldChar w:fldCharType="begin"/>
      </w:r>
      <w:r>
        <w:rPr>
          <w:highlight w:val="none"/>
          <w:u w:val="none"/>
        </w:rPr>
        <w:instrText xml:space="preserve"> HYPERLINK "https://pubs.rsc.org/en/content/articlelanding/2022/QO/D1QO01655E" </w:instrText>
      </w:r>
      <w:r>
        <w:rPr>
          <w:highlight w:val="none"/>
          <w:u w:val="none"/>
        </w:rPr>
        <w:fldChar w:fldCharType="separate"/>
      </w:r>
      <w:r>
        <w:rPr>
          <w:rStyle w:val="13"/>
          <w:rFonts w:ascii="Times New Roman" w:hAnsi="Times New Roman" w:eastAsia="Times New Roman"/>
          <w:color w:val="auto"/>
          <w:sz w:val="24"/>
          <w:szCs w:val="24"/>
          <w:highlight w:val="none"/>
          <w:u w:val="none"/>
        </w:rPr>
        <w:t>Aliphatic Sulfonyl Fluoride Synthesis via Reductive Decarboxylative Fluorosulfonylation of Aliphatic Carboxylic Acid NHPI Esters</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 Organic Chemistry Frontiers, 2022, 9(4): 1115-1120.</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lang w:val="nb-NO"/>
        </w:rPr>
        <w:t xml:space="preserve">[6] Meyer T H, Samanta R C, Del Vecchio A, et al. </w:t>
      </w:r>
      <w:r>
        <w:rPr>
          <w:highlight w:val="none"/>
          <w:u w:val="none"/>
        </w:rPr>
        <w:fldChar w:fldCharType="begin"/>
      </w:r>
      <w:r>
        <w:rPr>
          <w:highlight w:val="none"/>
          <w:u w:val="none"/>
        </w:rPr>
        <w:instrText xml:space="preserve"> HYPERLINK "https://pubs.rsc.org/en/content/articlelanding/2021/SC/D0SC05924B" </w:instrText>
      </w:r>
      <w:r>
        <w:rPr>
          <w:highlight w:val="none"/>
          <w:u w:val="none"/>
        </w:rPr>
        <w:fldChar w:fldCharType="separate"/>
      </w:r>
      <w:r>
        <w:rPr>
          <w:rStyle w:val="13"/>
          <w:rFonts w:ascii="Times New Roman" w:hAnsi="Times New Roman" w:eastAsia="Times New Roman"/>
          <w:color w:val="auto"/>
          <w:sz w:val="24"/>
          <w:szCs w:val="24"/>
          <w:highlight w:val="none"/>
          <w:u w:val="none"/>
        </w:rPr>
        <w:t>Mangana(iii/iv)electro-catalyzed C(sp(3))-H Azidation</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 Chemical Science, 2021, 12(8): 2890-2897.</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lang w:val="nb-NO"/>
        </w:rPr>
        <w:t xml:space="preserve">[7] Niu L B, Jiang C Y, Liang Y W, et al. </w:t>
      </w:r>
      <w:r>
        <w:rPr>
          <w:highlight w:val="none"/>
          <w:u w:val="none"/>
        </w:rPr>
        <w:fldChar w:fldCharType="begin"/>
      </w:r>
      <w:r>
        <w:rPr>
          <w:highlight w:val="none"/>
          <w:u w:val="none"/>
        </w:rPr>
        <w:instrText xml:space="preserve"> HYPERLINK "https://pubs.acs.org/doi/10.1021/jacs.0c08437" </w:instrText>
      </w:r>
      <w:r>
        <w:rPr>
          <w:highlight w:val="none"/>
          <w:u w:val="none"/>
        </w:rPr>
        <w:fldChar w:fldCharType="separate"/>
      </w:r>
      <w:r>
        <w:rPr>
          <w:rStyle w:val="13"/>
          <w:rFonts w:ascii="Times New Roman" w:hAnsi="Times New Roman" w:eastAsia="Times New Roman"/>
          <w:color w:val="auto"/>
          <w:sz w:val="24"/>
          <w:szCs w:val="24"/>
          <w:highlight w:val="none"/>
          <w:u w:val="none"/>
        </w:rPr>
        <w:t>Manganese-Catalyzed Oxidative Azidation of C(sp(3))-H Bonds under Electrophotocatalytic Conditions</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 Journal of the American Chemical Society, 2020, 142(41): 17693-17702.</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rPr>
        <w:t xml:space="preserve">[8] Rezaei-Ghaleh N, Agudo-Canalejo J, Griesinger C, et al. </w:t>
      </w:r>
      <w:r>
        <w:rPr>
          <w:highlight w:val="none"/>
          <w:u w:val="none"/>
        </w:rPr>
        <w:fldChar w:fldCharType="begin"/>
      </w:r>
      <w:r>
        <w:rPr>
          <w:highlight w:val="none"/>
          <w:u w:val="none"/>
        </w:rPr>
        <w:instrText xml:space="preserve"> HYPERLINK "https://pubs.acs.org/doi/10.1021/jacs.1c11754" </w:instrText>
      </w:r>
      <w:r>
        <w:rPr>
          <w:highlight w:val="none"/>
          <w:u w:val="none"/>
        </w:rPr>
        <w:fldChar w:fldCharType="separate"/>
      </w:r>
      <w:r>
        <w:rPr>
          <w:rStyle w:val="13"/>
          <w:rFonts w:ascii="Times New Roman" w:hAnsi="Times New Roman" w:eastAsia="Times New Roman"/>
          <w:color w:val="auto"/>
          <w:sz w:val="24"/>
          <w:szCs w:val="24"/>
          <w:highlight w:val="none"/>
          <w:u w:val="none"/>
        </w:rPr>
        <w:t>Molecular Diffusivity of Click Reaction Components: The Diffusion Enhancement Question</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 Journal of the American Chemical Society, 2022, 144(3): 1380-1388.</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rPr>
        <w:t xml:space="preserve">[9] Rodriguez E, Boelaars K, Brown K, et al. </w:t>
      </w:r>
      <w:r>
        <w:rPr>
          <w:highlight w:val="none"/>
          <w:u w:val="none"/>
        </w:rPr>
        <w:fldChar w:fldCharType="begin"/>
      </w:r>
      <w:r>
        <w:rPr>
          <w:highlight w:val="none"/>
          <w:u w:val="none"/>
        </w:rPr>
        <w:instrText xml:space="preserve"> HYPERLINK "https://www.nature.com/articles/s41467-021-21550-4" </w:instrText>
      </w:r>
      <w:r>
        <w:rPr>
          <w:highlight w:val="none"/>
          <w:u w:val="none"/>
        </w:rPr>
        <w:fldChar w:fldCharType="separate"/>
      </w:r>
      <w:r>
        <w:rPr>
          <w:rStyle w:val="13"/>
          <w:rFonts w:ascii="Times New Roman" w:hAnsi="Times New Roman" w:eastAsia="Times New Roman"/>
          <w:color w:val="auto"/>
          <w:sz w:val="24"/>
          <w:szCs w:val="24"/>
          <w:highlight w:val="none"/>
          <w:u w:val="none"/>
        </w:rPr>
        <w:t>Sialic Acids in Pancreatic Cancer Cells Dive Tumour-associated Macrophage Differentiation via the Siglec Receptors Siglec-7 and Siglec-9</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[J/OL]. Nature Communications, 2021, 12(1). (2021-2-24)[2022-11-15].</w:t>
      </w:r>
      <w:r>
        <w:rPr>
          <w:highlight w:val="none"/>
        </w:rPr>
        <w:t xml:space="preserve"> </w:t>
      </w:r>
      <w:r>
        <w:rPr>
          <w:rFonts w:ascii="Times New Roman" w:hAnsi="Times New Roman" w:eastAsia="Times New Roman"/>
          <w:sz w:val="24"/>
          <w:szCs w:val="24"/>
          <w:highlight w:val="none"/>
        </w:rPr>
        <w:t>https://www.nature.com/articles/s41467-021-21550-4.</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lang w:val="nb-NO"/>
        </w:rPr>
        <w:t xml:space="preserve">[10] Vile G, Di Liberto G, Tosoni S, et al. </w:t>
      </w:r>
      <w:r>
        <w:rPr>
          <w:highlight w:val="none"/>
          <w:u w:val="none"/>
        </w:rPr>
        <w:fldChar w:fldCharType="begin"/>
      </w:r>
      <w:r>
        <w:rPr>
          <w:highlight w:val="none"/>
          <w:u w:val="none"/>
        </w:rPr>
        <w:instrText xml:space="preserve"> HYPERLINK "https://pubs.acs.org/doi/10.1021/acscatal.1c05610" </w:instrText>
      </w:r>
      <w:r>
        <w:rPr>
          <w:highlight w:val="none"/>
          <w:u w:val="none"/>
        </w:rPr>
        <w:fldChar w:fldCharType="separate"/>
      </w:r>
      <w:r>
        <w:rPr>
          <w:rStyle w:val="12"/>
          <w:rFonts w:ascii="Times New Roman" w:hAnsi="Times New Roman" w:eastAsia="Times New Roman"/>
          <w:color w:val="auto"/>
          <w:sz w:val="24"/>
          <w:szCs w:val="24"/>
          <w:highlight w:val="none"/>
          <w:u w:val="none"/>
        </w:rPr>
        <w:t>Azide-Alkyne Click Chemistry over a Heterogeneous Copper-Based Single-Atom Catalyst</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u w:val="single"/>
        </w:rPr>
        <w:t>[</w:t>
      </w:r>
      <w:r>
        <w:rPr>
          <w:rFonts w:ascii="Times New Roman" w:hAnsi="Times New Roman" w:eastAsia="Times New Roman"/>
          <w:sz w:val="24"/>
          <w:szCs w:val="24"/>
          <w:highlight w:val="none"/>
        </w:rPr>
        <w:t>J]. A</w:t>
      </w:r>
      <w:r>
        <w:rPr>
          <w:rFonts w:hint="eastAsia" w:ascii="Times New Roman" w:hAnsi="Times New Roman" w:eastAsia="Times New Roman"/>
          <w:sz w:val="24"/>
          <w:szCs w:val="24"/>
          <w:highlight w:val="none"/>
          <w:lang w:val="en-US" w:eastAsia="zh-Hans"/>
        </w:rPr>
        <w:t>CS</w:t>
      </w:r>
      <w:r>
        <w:rPr>
          <w:rFonts w:ascii="Times New Roman" w:hAnsi="Times New Roman" w:eastAsia="Times New Roman"/>
          <w:sz w:val="24"/>
          <w:szCs w:val="24"/>
          <w:highlight w:val="none"/>
        </w:rPr>
        <w:t xml:space="preserve"> Catalysis, 2022, 12(5): 2947-2958.</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lang w:val="nb-NO"/>
        </w:rPr>
        <w:t xml:space="preserve">[11] Wang K W, Jiang M L, Zhou J L, et al. </w:t>
      </w:r>
      <w:r>
        <w:rPr>
          <w:highlight w:val="none"/>
          <w:u w:val="none"/>
        </w:rPr>
        <w:fldChar w:fldCharType="begin"/>
      </w:r>
      <w:r>
        <w:rPr>
          <w:highlight w:val="none"/>
          <w:u w:val="none"/>
        </w:rPr>
        <w:instrText xml:space="preserve"> HYPERLINK "https://pubs.acs.org/doi/10.1021/acsnano.1c08232" </w:instrText>
      </w:r>
      <w:r>
        <w:rPr>
          <w:highlight w:val="none"/>
          <w:u w:val="none"/>
        </w:rPr>
        <w:fldChar w:fldCharType="separate"/>
      </w:r>
      <w:r>
        <w:rPr>
          <w:rStyle w:val="13"/>
          <w:rFonts w:ascii="Times New Roman" w:hAnsi="Times New Roman" w:eastAsia="Times New Roman"/>
          <w:color w:val="auto"/>
          <w:sz w:val="24"/>
          <w:szCs w:val="24"/>
          <w:highlight w:val="none"/>
          <w:u w:val="none"/>
        </w:rPr>
        <w:t>Tumor-Acidity and Bioorthogonal Chemistry-Mediated On-Site Size Transformation Clustered Nanosystem to Overcome Hypoxic Resistance and Enhance Chemoimmunotherapy</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u w:val="none"/>
        </w:rPr>
        <w:t>[</w:t>
      </w:r>
      <w:r>
        <w:rPr>
          <w:rFonts w:ascii="Times New Roman" w:hAnsi="Times New Roman" w:eastAsia="Times New Roman"/>
          <w:sz w:val="24"/>
          <w:szCs w:val="24"/>
          <w:highlight w:val="none"/>
        </w:rPr>
        <w:t>J]. A</w:t>
      </w:r>
      <w:r>
        <w:rPr>
          <w:rFonts w:hint="eastAsia" w:ascii="Times New Roman" w:hAnsi="Times New Roman" w:eastAsia="Times New Roman"/>
          <w:sz w:val="24"/>
          <w:szCs w:val="24"/>
          <w:highlight w:val="none"/>
          <w:lang w:val="en-US" w:eastAsia="zh-Hans"/>
        </w:rPr>
        <w:t>CS</w:t>
      </w:r>
      <w:r>
        <w:rPr>
          <w:rFonts w:hint="default" w:ascii="Times New Roman" w:hAnsi="Times New Roman" w:eastAsia="Times New Roman"/>
          <w:sz w:val="24"/>
          <w:szCs w:val="24"/>
          <w:highlight w:val="none"/>
          <w:lang w:eastAsia="zh-Hans"/>
        </w:rPr>
        <w:t xml:space="preserve"> </w:t>
      </w:r>
      <w:r>
        <w:rPr>
          <w:rFonts w:ascii="Times New Roman" w:hAnsi="Times New Roman" w:eastAsia="Times New Roman"/>
          <w:sz w:val="24"/>
          <w:szCs w:val="24"/>
          <w:highlight w:val="none"/>
        </w:rPr>
        <w:t>Nano, 2022, 16(1): 721-735.</w:t>
      </w:r>
    </w:p>
    <w:p>
      <w:pPr>
        <w:widowControl/>
        <w:shd w:val="clear" w:color="auto" w:fill="FFFFFF"/>
        <w:spacing w:after="120"/>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rPr>
        <w:t xml:space="preserve">[12] Wu H, Shajahan A, Yang J Y, et al. </w:t>
      </w:r>
      <w:r>
        <w:rPr>
          <w:highlight w:val="none"/>
          <w:u w:val="none"/>
        </w:rPr>
        <w:fldChar w:fldCharType="begin"/>
      </w:r>
      <w:r>
        <w:rPr>
          <w:highlight w:val="none"/>
          <w:u w:val="none"/>
        </w:rPr>
        <w:instrText xml:space="preserve"> HYPERLINK "https://www.sciencedirect.com/science/article/pii/S2451945621003470?via%3Dihub" </w:instrText>
      </w:r>
      <w:r>
        <w:rPr>
          <w:highlight w:val="none"/>
          <w:u w:val="none"/>
        </w:rPr>
        <w:fldChar w:fldCharType="separate"/>
      </w:r>
      <w:r>
        <w:rPr>
          <w:rStyle w:val="13"/>
          <w:rFonts w:ascii="Times New Roman" w:hAnsi="Times New Roman" w:eastAsia="Times New Roman"/>
          <w:color w:val="auto"/>
          <w:sz w:val="24"/>
          <w:szCs w:val="24"/>
          <w:highlight w:val="none"/>
          <w:u w:val="none"/>
        </w:rPr>
        <w:t>A photo-cross-linking GlcNAc Analog Enables Covalent Capture of N-linked Glycoprotein-binding Partners on the Cell Surface</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 Cell Chemical Biology, 2022, 29(1): 84-97.e8.</w:t>
      </w:r>
    </w:p>
    <w:p>
      <w:pPr>
        <w:widowControl/>
        <w:jc w:val="left"/>
        <w:rPr>
          <w:rFonts w:ascii="Times New Roman" w:hAnsi="Times New Roman" w:eastAsia="Times New Roman"/>
          <w:sz w:val="24"/>
          <w:szCs w:val="24"/>
          <w:highlight w:val="none"/>
        </w:rPr>
      </w:pPr>
      <w:r>
        <w:rPr>
          <w:rFonts w:ascii="Times New Roman" w:hAnsi="Times New Roman" w:eastAsia="Times New Roman"/>
          <w:sz w:val="24"/>
          <w:szCs w:val="24"/>
          <w:highlight w:val="none"/>
        </w:rPr>
        <w:t xml:space="preserve">[13] Yip A M H, Lai C K H, Yiu K S M, et al. </w:t>
      </w:r>
      <w:r>
        <w:rPr>
          <w:highlight w:val="none"/>
          <w:u w:val="none"/>
        </w:rPr>
        <w:fldChar w:fldCharType="begin"/>
      </w:r>
      <w:r>
        <w:rPr>
          <w:highlight w:val="none"/>
          <w:u w:val="none"/>
        </w:rPr>
        <w:instrText xml:space="preserve"> HYPERLINK "https://onlinelibrary.wiley.com/doi/10.1002/anie.202116078" </w:instrText>
      </w:r>
      <w:r>
        <w:rPr>
          <w:highlight w:val="none"/>
          <w:u w:val="none"/>
        </w:rPr>
        <w:fldChar w:fldCharType="separate"/>
      </w:r>
      <w:r>
        <w:rPr>
          <w:rStyle w:val="13"/>
          <w:rFonts w:ascii="Times New Roman" w:hAnsi="Times New Roman" w:eastAsia="Times New Roman"/>
          <w:color w:val="auto"/>
          <w:sz w:val="24"/>
          <w:szCs w:val="24"/>
          <w:highlight w:val="none"/>
          <w:u w:val="none"/>
        </w:rPr>
        <w:t>Phosphorogenic Iridium(III) bis-Tetrazine Complexes for Bioorthogonal Peptide Stapling, Bioimaging, Photocytotoxic Applications, and the Construction of Nanosized Hydrogels</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[J/OL]. Angewandte Chemie-International Edition, 2022, 61(16). (2022-4-11)[2022-11-15].</w:t>
      </w:r>
      <w:r>
        <w:rPr>
          <w:highlight w:val="none"/>
        </w:rPr>
        <w:t xml:space="preserve"> </w:t>
      </w:r>
      <w:r>
        <w:rPr>
          <w:rFonts w:ascii="Times New Roman" w:hAnsi="Times New Roman" w:eastAsia="Times New Roman"/>
          <w:sz w:val="24"/>
          <w:szCs w:val="24"/>
          <w:highlight w:val="none"/>
        </w:rPr>
        <w:t>https://doi.org/10.1002/anie.202116078.</w:t>
      </w:r>
    </w:p>
    <w:p>
      <w:pPr>
        <w:widowControl/>
        <w:shd w:val="clear" w:color="auto" w:fill="FFFFFF"/>
        <w:spacing w:after="120"/>
        <w:jc w:val="left"/>
        <w:rPr>
          <w:rFonts w:ascii="Times New Roman" w:hAnsi="Times New Roman" w:eastAsia="Times New Roman"/>
          <w:sz w:val="24"/>
          <w:szCs w:val="24"/>
          <w:highlight w:val="none"/>
          <w:u w:val="none"/>
        </w:rPr>
      </w:pPr>
      <w:r>
        <w:rPr>
          <w:rFonts w:ascii="Times New Roman" w:hAnsi="Times New Roman" w:eastAsia="Times New Roman"/>
          <w:sz w:val="24"/>
          <w:szCs w:val="24"/>
          <w:highlight w:val="none"/>
          <w:lang w:val="nb-NO"/>
        </w:rPr>
        <w:t xml:space="preserve">[14] Zhao C X, Liu J N, Wang J, et al. </w:t>
      </w:r>
      <w:r>
        <w:rPr>
          <w:highlight w:val="none"/>
          <w:u w:val="none"/>
        </w:rPr>
        <w:fldChar w:fldCharType="begin"/>
      </w:r>
      <w:r>
        <w:rPr>
          <w:highlight w:val="none"/>
          <w:u w:val="none"/>
        </w:rPr>
        <w:instrText xml:space="preserve"> HYPERLINK "https://www.science.org/doi/10.1126/sciadv.abn5091" </w:instrText>
      </w:r>
      <w:r>
        <w:rPr>
          <w:highlight w:val="none"/>
          <w:u w:val="none"/>
        </w:rPr>
        <w:fldChar w:fldCharType="separate"/>
      </w:r>
      <w:r>
        <w:rPr>
          <w:rStyle w:val="13"/>
          <w:rFonts w:ascii="Times New Roman" w:hAnsi="Times New Roman" w:eastAsia="Times New Roman"/>
          <w:color w:val="auto"/>
          <w:sz w:val="24"/>
          <w:szCs w:val="24"/>
          <w:highlight w:val="none"/>
          <w:u w:val="none"/>
        </w:rPr>
        <w:t>A Clicking Confinement Strategy to Fabricate Transition Metal Single-atom Sites for Bifunctional Oxygen Electrocatalysis</w:t>
      </w:r>
      <w:r>
        <w:rPr>
          <w:rStyle w:val="13"/>
          <w:rFonts w:ascii="Times New Roman" w:hAnsi="Times New Roman" w:eastAsia="Times New Roman"/>
          <w:color w:val="auto"/>
          <w:sz w:val="24"/>
          <w:szCs w:val="24"/>
          <w:highlight w:val="none"/>
          <w:u w:val="none"/>
        </w:rPr>
        <w:fldChar w:fldCharType="end"/>
      </w:r>
      <w:r>
        <w:rPr>
          <w:rFonts w:ascii="Times New Roman" w:hAnsi="Times New Roman" w:eastAsia="Times New Roman"/>
          <w:sz w:val="24"/>
          <w:szCs w:val="24"/>
          <w:highlight w:val="none"/>
        </w:rPr>
        <w:t>[J/OL]. Science Advances, 2022, 8(11).</w:t>
      </w:r>
      <w:r>
        <w:rPr>
          <w:highlight w:val="none"/>
        </w:rPr>
        <w:t xml:space="preserve"> </w:t>
      </w:r>
      <w:r>
        <w:rPr>
          <w:rFonts w:ascii="Times New Roman" w:hAnsi="Times New Roman" w:eastAsia="Times New Roman"/>
          <w:sz w:val="24"/>
          <w:szCs w:val="24"/>
          <w:highlight w:val="none"/>
        </w:rPr>
        <w:t>(2022-3-16)[2022-11-15].</w:t>
      </w:r>
      <w:r>
        <w:rPr>
          <w:highlight w:val="none"/>
        </w:rPr>
        <w:t xml:space="preserve"> </w:t>
      </w:r>
      <w:r>
        <w:rPr>
          <w:rFonts w:ascii="Times New Roman" w:hAnsi="Times New Roman" w:eastAsia="Times New Roman"/>
          <w:sz w:val="24"/>
          <w:szCs w:val="24"/>
          <w:highlight w:val="none"/>
          <w:u w:val="none"/>
        </w:rPr>
        <w:fldChar w:fldCharType="begin"/>
      </w:r>
      <w:r>
        <w:rPr>
          <w:rFonts w:ascii="Times New Roman" w:hAnsi="Times New Roman" w:eastAsia="Times New Roman"/>
          <w:sz w:val="24"/>
          <w:szCs w:val="24"/>
          <w:highlight w:val="none"/>
          <w:u w:val="none"/>
        </w:rPr>
        <w:instrText xml:space="preserve"> HYPERLINK "https://www.science.org/doi/10.1126/sciadv.abn5091" </w:instrText>
      </w:r>
      <w:r>
        <w:rPr>
          <w:rFonts w:ascii="Times New Roman" w:hAnsi="Times New Roman" w:eastAsia="Times New Roman"/>
          <w:sz w:val="24"/>
          <w:szCs w:val="24"/>
          <w:highlight w:val="none"/>
          <w:u w:val="none"/>
        </w:rPr>
        <w:fldChar w:fldCharType="separate"/>
      </w:r>
      <w:r>
        <w:rPr>
          <w:rStyle w:val="13"/>
          <w:rFonts w:ascii="Times New Roman" w:hAnsi="Times New Roman" w:eastAsia="Times New Roman"/>
          <w:sz w:val="24"/>
          <w:szCs w:val="24"/>
          <w:highlight w:val="none"/>
          <w:u w:val="none"/>
        </w:rPr>
        <w:t>https://www.science.org/doi/10.1126/sciadv.abn5091</w:t>
      </w:r>
      <w:r>
        <w:rPr>
          <w:rFonts w:ascii="Times New Roman" w:hAnsi="Times New Roman" w:eastAsia="Times New Roman"/>
          <w:sz w:val="24"/>
          <w:szCs w:val="24"/>
          <w:highlight w:val="none"/>
          <w:u w:val="none"/>
        </w:rPr>
        <w:fldChar w:fldCharType="end"/>
      </w:r>
    </w:p>
    <w:p>
      <w:pPr>
        <w:widowControl/>
        <w:shd w:val="clear" w:color="auto" w:fill="FFFFFF"/>
        <w:spacing w:after="120"/>
        <w:jc w:val="left"/>
        <w:rPr>
          <w:rFonts w:ascii="Times New Roman" w:hAnsi="Times New Roman" w:eastAsia="Times New Roman"/>
          <w:sz w:val="24"/>
          <w:szCs w:val="24"/>
          <w:highlight w:val="none"/>
          <w:u w:val="none"/>
        </w:rPr>
      </w:pPr>
    </w:p>
    <w:p>
      <w:pPr>
        <w:widowControl/>
        <w:shd w:val="clear" w:color="auto" w:fill="FFFFFF"/>
        <w:spacing w:after="120"/>
        <w:jc w:val="left"/>
        <w:rPr>
          <w:rFonts w:ascii="Times New Roman" w:hAnsi="Times New Roman" w:eastAsia="Times New Roman"/>
          <w:sz w:val="24"/>
          <w:szCs w:val="24"/>
          <w:highlight w:val="none"/>
          <w:u w:val="none"/>
        </w:rPr>
      </w:pPr>
    </w:p>
    <w:p>
      <w:pPr>
        <w:widowControl/>
        <w:shd w:val="clear" w:color="auto" w:fill="FFFFFF"/>
        <w:spacing w:after="120"/>
        <w:jc w:val="left"/>
        <w:rPr>
          <w:rFonts w:ascii="Times New Roman" w:hAnsi="Times New Roman" w:eastAsia="Times New Roman"/>
          <w:sz w:val="24"/>
          <w:szCs w:val="24"/>
          <w:highlight w:val="none"/>
          <w:u w:val="none"/>
        </w:rPr>
      </w:pPr>
    </w:p>
    <w:p>
      <w:pPr>
        <w:widowControl/>
        <w:shd w:val="clear" w:color="auto" w:fill="FFFFFF"/>
        <w:spacing w:after="120"/>
        <w:jc w:val="left"/>
        <w:rPr>
          <w:rFonts w:ascii="Times New Roman" w:hAnsi="Times New Roman" w:eastAsia="Times New Roman"/>
          <w:sz w:val="24"/>
          <w:szCs w:val="24"/>
          <w:highlight w:val="none"/>
          <w:u w:val="none"/>
        </w:rPr>
      </w:pPr>
    </w:p>
    <w:p>
      <w:pPr>
        <w:widowControl/>
        <w:shd w:val="clear" w:color="auto" w:fill="FFFFFF"/>
        <w:spacing w:after="120"/>
        <w:jc w:val="left"/>
        <w:rPr>
          <w:rFonts w:ascii="Times New Roman" w:hAnsi="Times New Roman" w:eastAsia="Times New Roman"/>
          <w:sz w:val="24"/>
          <w:szCs w:val="24"/>
          <w:highlight w:val="none"/>
          <w:u w:val="none"/>
        </w:rPr>
      </w:pPr>
    </w:p>
    <w:p>
      <w:pPr>
        <w:widowControl/>
        <w:shd w:val="clear" w:color="auto" w:fill="FFFFFF"/>
        <w:spacing w:after="120"/>
        <w:jc w:val="left"/>
        <w:rPr>
          <w:rFonts w:ascii="Times New Roman" w:hAnsi="Times New Roman" w:eastAsia="Times New Roman"/>
          <w:sz w:val="24"/>
          <w:szCs w:val="24"/>
          <w:highlight w:val="none"/>
          <w:u w:val="none"/>
        </w:rPr>
      </w:pPr>
    </w:p>
    <w:p>
      <w:pPr>
        <w:widowControl/>
        <w:shd w:val="clear" w:color="auto" w:fill="FFFFFF"/>
        <w:spacing w:after="120"/>
        <w:jc w:val="left"/>
        <w:rPr>
          <w:rFonts w:ascii="Times New Roman" w:hAnsi="Times New Roman" w:eastAsia="Times New Roman"/>
          <w:sz w:val="24"/>
          <w:szCs w:val="24"/>
          <w:highlight w:val="none"/>
          <w:u w:val="none"/>
        </w:rPr>
      </w:pPr>
    </w:p>
    <w:p>
      <w:pPr>
        <w:widowControl/>
        <w:shd w:val="clear" w:color="auto" w:fill="FFFFFF"/>
        <w:spacing w:after="120"/>
        <w:jc w:val="left"/>
        <w:rPr>
          <w:rFonts w:ascii="Times New Roman" w:hAnsi="Times New Roman" w:eastAsia="Times New Roman"/>
          <w:sz w:val="24"/>
          <w:szCs w:val="24"/>
          <w:highlight w:val="none"/>
          <w:u w:val="none"/>
        </w:rPr>
      </w:pPr>
    </w:p>
    <w:p>
      <w:pPr>
        <w:widowControl/>
        <w:shd w:val="clear" w:color="auto" w:fill="FFFFFF"/>
        <w:spacing w:after="120"/>
        <w:jc w:val="left"/>
        <w:rPr>
          <w:rFonts w:ascii="Times New Roman" w:hAnsi="Times New Roman" w:eastAsia="Times New Roman"/>
          <w:sz w:val="24"/>
          <w:szCs w:val="24"/>
          <w:highlight w:val="none"/>
          <w:u w:val="none"/>
        </w:rPr>
      </w:pPr>
      <w:bookmarkStart w:id="0" w:name="_GoBack"/>
      <w:bookmarkEnd w:id="0"/>
    </w:p>
    <w:p>
      <w:pPr>
        <w:widowControl/>
        <w:shd w:val="clear" w:color="auto" w:fill="FFFFFF"/>
        <w:spacing w:after="120"/>
        <w:jc w:val="left"/>
        <w:rPr>
          <w:rFonts w:ascii="Times New Roman" w:hAnsi="Times New Roman" w:eastAsia="Times New Roman"/>
          <w:sz w:val="24"/>
          <w:szCs w:val="24"/>
          <w:highlight w:val="none"/>
          <w:u w:val="none"/>
        </w:rPr>
      </w:pPr>
    </w:p>
    <w:p>
      <w:pPr>
        <w:ind w:firstLine="480" w:firstLineChars="200"/>
        <w:rPr>
          <w:rFonts w:ascii="新宋体" w:hAnsi="新宋体" w:eastAsia="新宋体" w:cs="新宋体"/>
          <w:szCs w:val="21"/>
          <w:shd w:val="clear" w:color="auto" w:fill="A3A3A3"/>
        </w:rPr>
      </w:pPr>
      <w:r>
        <w:rPr>
          <w:rFonts w:hint="eastAsia" w:ascii="楷体" w:hAnsi="楷体" w:eastAsia="楷体" w:cs="Times New Roman"/>
          <w:sz w:val="24"/>
        </w:rPr>
        <w:t>因学科专业所限，难免出错，敬请批评指正；同时，也面向全校师生征集关注的领域和专题。联系方式：6</w:t>
      </w:r>
      <w:r>
        <w:rPr>
          <w:rFonts w:ascii="楷体" w:hAnsi="楷体" w:eastAsia="楷体" w:cs="Times New Roman"/>
          <w:sz w:val="24"/>
        </w:rPr>
        <w:t>875</w:t>
      </w:r>
      <w:r>
        <w:rPr>
          <w:rFonts w:hint="eastAsia" w:ascii="楷体" w:hAnsi="楷体" w:eastAsia="楷体" w:cs="Times New Roman"/>
          <w:sz w:val="24"/>
        </w:rPr>
        <w:t>4550，E</w:t>
      </w:r>
      <w:r>
        <w:rPr>
          <w:rFonts w:ascii="楷体" w:hAnsi="楷体" w:eastAsia="楷体" w:cs="Times New Roman"/>
          <w:sz w:val="24"/>
        </w:rPr>
        <w:t xml:space="preserve">mail: </w:t>
      </w:r>
      <w:r>
        <w:fldChar w:fldCharType="begin"/>
      </w:r>
      <w:r>
        <w:instrText xml:space="preserve"> HYPERLINK "mailto:" </w:instrText>
      </w:r>
      <w:r>
        <w:fldChar w:fldCharType="separate"/>
      </w:r>
      <w:r>
        <w:fldChar w:fldCharType="end"/>
      </w:r>
      <w:r>
        <w:t xml:space="preserve"> </w:t>
      </w:r>
      <w:r>
        <w:rPr>
          <w:rFonts w:ascii="Times New Roman" w:hAnsi="Times New Roman" w:eastAsia="新宋体" w:cs="新宋体"/>
          <w:szCs w:val="21"/>
        </w:rPr>
        <w:t>jflai</w:t>
      </w:r>
      <w:r>
        <w:rPr>
          <w:rFonts w:hint="eastAsia" w:ascii="Times New Roman" w:hAnsi="Times New Roman" w:eastAsia="新宋体" w:cs="新宋体"/>
          <w:szCs w:val="21"/>
        </w:rPr>
        <w:t>@lib.whu.edu.cn。</w:t>
      </w:r>
    </w:p>
    <w:p>
      <w:pPr>
        <w:jc w:val="right"/>
        <w:rPr>
          <w:rFonts w:ascii="Times New Roman" w:hAnsi="Times New Roman" w:cs="Times New Roman"/>
          <w:szCs w:val="21"/>
        </w:rPr>
      </w:pPr>
    </w:p>
    <w:p>
      <w:pPr>
        <w:wordWrap w:val="0"/>
        <w:jc w:val="right"/>
        <w:rPr>
          <w:rFonts w:ascii="Times New Roman" w:hAnsi="Times New Roman" w:cs="宋体"/>
          <w:sz w:val="24"/>
        </w:rPr>
      </w:pPr>
      <w:r>
        <w:rPr>
          <w:rFonts w:hint="eastAsia" w:ascii="Times New Roman" w:hAnsi="Times New Roman" w:cs="Times New Roman"/>
          <w:szCs w:val="21"/>
        </w:rPr>
        <w:t>编辑：</w:t>
      </w:r>
      <w:r>
        <w:rPr>
          <w:rFonts w:hint="eastAsia" w:ascii="Times New Roman" w:hAnsi="Times New Roman" w:cs="Times New Roman"/>
          <w:szCs w:val="21"/>
          <w:lang w:val="en-US" w:eastAsia="zh-Hans"/>
        </w:rPr>
        <w:t>陈爱群</w:t>
      </w:r>
      <w:r>
        <w:rPr>
          <w:rFonts w:hint="eastAsia" w:ascii="Times New Roman" w:hAnsi="Times New Roman" w:cs="Times New Roman"/>
          <w:szCs w:val="21"/>
        </w:rPr>
        <w:t xml:space="preserve">   </w:t>
      </w:r>
      <w:r>
        <w:rPr>
          <w:szCs w:val="21"/>
        </w:rPr>
        <w:t>审核：</w:t>
      </w:r>
      <w:r>
        <w:rPr>
          <w:rFonts w:hint="eastAsia"/>
          <w:szCs w:val="21"/>
        </w:rPr>
        <w:t>黄如花 刘颖</w:t>
      </w:r>
    </w:p>
    <w:p>
      <w:pPr>
        <w:widowControl/>
        <w:shd w:val="clear" w:color="auto" w:fill="FFFFFF"/>
        <w:spacing w:after="120"/>
        <w:jc w:val="left"/>
        <w:rPr>
          <w:rFonts w:ascii="Times New Roman" w:hAnsi="Times New Roman" w:eastAsia="Times New Roman"/>
          <w:sz w:val="24"/>
          <w:szCs w:val="24"/>
          <w:highlight w:val="none"/>
          <w:u w:val="none"/>
        </w:rPr>
      </w:pPr>
    </w:p>
    <w:p>
      <w:pPr>
        <w:widowControl/>
        <w:shd w:val="clear" w:color="auto" w:fill="FFFFFF"/>
        <w:spacing w:after="120"/>
        <w:jc w:val="left"/>
        <w:rPr>
          <w:rFonts w:ascii="Times New Roman" w:hAnsi="Times New Roman" w:eastAsia="Times New Roman"/>
          <w:sz w:val="24"/>
          <w:szCs w:val="24"/>
          <w:highlight w:val="none"/>
        </w:rPr>
      </w:pPr>
    </w:p>
    <w:p>
      <w:pPr>
        <w:widowControl/>
        <w:shd w:val="clear" w:color="auto" w:fill="FFFFFF"/>
        <w:ind w:firstLine="420" w:firstLineChars="200"/>
        <w:jc w:val="left"/>
        <w:rPr>
          <w:rFonts w:ascii="楷体" w:hAnsi="楷体" w:eastAsia="楷体"/>
          <w:color w:val="000000"/>
          <w:highlight w:val="none"/>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EEB"/>
    <w:rsid w:val="00005B2F"/>
    <w:rsid w:val="00006B0C"/>
    <w:rsid w:val="00027677"/>
    <w:rsid w:val="00030D4B"/>
    <w:rsid w:val="00035709"/>
    <w:rsid w:val="00057317"/>
    <w:rsid w:val="00063373"/>
    <w:rsid w:val="0006486D"/>
    <w:rsid w:val="00066D40"/>
    <w:rsid w:val="000745E4"/>
    <w:rsid w:val="0008237F"/>
    <w:rsid w:val="00083F37"/>
    <w:rsid w:val="00087D1B"/>
    <w:rsid w:val="000914C5"/>
    <w:rsid w:val="00091A43"/>
    <w:rsid w:val="00091A55"/>
    <w:rsid w:val="0009418D"/>
    <w:rsid w:val="0009502B"/>
    <w:rsid w:val="000A45B8"/>
    <w:rsid w:val="000A54C5"/>
    <w:rsid w:val="000C3EFF"/>
    <w:rsid w:val="000C6C0C"/>
    <w:rsid w:val="000D7C91"/>
    <w:rsid w:val="000E5170"/>
    <w:rsid w:val="000E7AA9"/>
    <w:rsid w:val="000F2F5D"/>
    <w:rsid w:val="001029DD"/>
    <w:rsid w:val="0011618A"/>
    <w:rsid w:val="00121155"/>
    <w:rsid w:val="0013347E"/>
    <w:rsid w:val="001455C7"/>
    <w:rsid w:val="00157FBB"/>
    <w:rsid w:val="00164BFB"/>
    <w:rsid w:val="001727CD"/>
    <w:rsid w:val="00176DA4"/>
    <w:rsid w:val="0017789D"/>
    <w:rsid w:val="00181F2E"/>
    <w:rsid w:val="001A2792"/>
    <w:rsid w:val="001B670D"/>
    <w:rsid w:val="001C0CF0"/>
    <w:rsid w:val="001C573C"/>
    <w:rsid w:val="001C7AAA"/>
    <w:rsid w:val="001E3280"/>
    <w:rsid w:val="001E338B"/>
    <w:rsid w:val="001E4CC6"/>
    <w:rsid w:val="00205833"/>
    <w:rsid w:val="0020761E"/>
    <w:rsid w:val="00212CC4"/>
    <w:rsid w:val="00215BF0"/>
    <w:rsid w:val="00227782"/>
    <w:rsid w:val="00241B7C"/>
    <w:rsid w:val="00242346"/>
    <w:rsid w:val="002507DB"/>
    <w:rsid w:val="00250D8E"/>
    <w:rsid w:val="00251207"/>
    <w:rsid w:val="00264CCA"/>
    <w:rsid w:val="00274ECE"/>
    <w:rsid w:val="0028314C"/>
    <w:rsid w:val="0029118A"/>
    <w:rsid w:val="00293D65"/>
    <w:rsid w:val="00294A4B"/>
    <w:rsid w:val="002A25BB"/>
    <w:rsid w:val="002C58D5"/>
    <w:rsid w:val="002D5667"/>
    <w:rsid w:val="0030390B"/>
    <w:rsid w:val="00306D70"/>
    <w:rsid w:val="00307828"/>
    <w:rsid w:val="0032379C"/>
    <w:rsid w:val="003239D6"/>
    <w:rsid w:val="0032704B"/>
    <w:rsid w:val="00335956"/>
    <w:rsid w:val="00335E32"/>
    <w:rsid w:val="00344B32"/>
    <w:rsid w:val="00344CDE"/>
    <w:rsid w:val="003558D4"/>
    <w:rsid w:val="0037079C"/>
    <w:rsid w:val="003750AB"/>
    <w:rsid w:val="0038310B"/>
    <w:rsid w:val="0038348A"/>
    <w:rsid w:val="00395424"/>
    <w:rsid w:val="003A4BF9"/>
    <w:rsid w:val="003A5206"/>
    <w:rsid w:val="003A6D4E"/>
    <w:rsid w:val="003B58FB"/>
    <w:rsid w:val="003D544D"/>
    <w:rsid w:val="003E7B50"/>
    <w:rsid w:val="00402497"/>
    <w:rsid w:val="00410B8E"/>
    <w:rsid w:val="004125B0"/>
    <w:rsid w:val="004155B7"/>
    <w:rsid w:val="00424921"/>
    <w:rsid w:val="00431458"/>
    <w:rsid w:val="00433A2E"/>
    <w:rsid w:val="00434E27"/>
    <w:rsid w:val="00435EEB"/>
    <w:rsid w:val="00437B00"/>
    <w:rsid w:val="00442AA4"/>
    <w:rsid w:val="0045325C"/>
    <w:rsid w:val="00453EE4"/>
    <w:rsid w:val="0046282C"/>
    <w:rsid w:val="004801A4"/>
    <w:rsid w:val="00484982"/>
    <w:rsid w:val="0049123C"/>
    <w:rsid w:val="0049772D"/>
    <w:rsid w:val="004A7FCC"/>
    <w:rsid w:val="004B70F2"/>
    <w:rsid w:val="004C505B"/>
    <w:rsid w:val="004D090A"/>
    <w:rsid w:val="004D54ED"/>
    <w:rsid w:val="004E4FA9"/>
    <w:rsid w:val="004E5126"/>
    <w:rsid w:val="004E790D"/>
    <w:rsid w:val="004F68EC"/>
    <w:rsid w:val="004F7656"/>
    <w:rsid w:val="005053FB"/>
    <w:rsid w:val="005266D0"/>
    <w:rsid w:val="005300CE"/>
    <w:rsid w:val="0053115A"/>
    <w:rsid w:val="00534890"/>
    <w:rsid w:val="0054393F"/>
    <w:rsid w:val="0056027F"/>
    <w:rsid w:val="00564DA2"/>
    <w:rsid w:val="005825F9"/>
    <w:rsid w:val="0059487A"/>
    <w:rsid w:val="0059674A"/>
    <w:rsid w:val="005A627C"/>
    <w:rsid w:val="005B0A46"/>
    <w:rsid w:val="005B692A"/>
    <w:rsid w:val="005C32D1"/>
    <w:rsid w:val="005C35F5"/>
    <w:rsid w:val="005E0CD5"/>
    <w:rsid w:val="005E287F"/>
    <w:rsid w:val="005F3A3B"/>
    <w:rsid w:val="00627DC1"/>
    <w:rsid w:val="00671609"/>
    <w:rsid w:val="00672EF8"/>
    <w:rsid w:val="006734EA"/>
    <w:rsid w:val="00696F06"/>
    <w:rsid w:val="006B0B95"/>
    <w:rsid w:val="006B24E8"/>
    <w:rsid w:val="006B41FE"/>
    <w:rsid w:val="006C0224"/>
    <w:rsid w:val="006C16B2"/>
    <w:rsid w:val="006C6317"/>
    <w:rsid w:val="006D0C09"/>
    <w:rsid w:val="006E0C31"/>
    <w:rsid w:val="006E234F"/>
    <w:rsid w:val="006E3C07"/>
    <w:rsid w:val="0070721C"/>
    <w:rsid w:val="007203D1"/>
    <w:rsid w:val="00733DA8"/>
    <w:rsid w:val="00752849"/>
    <w:rsid w:val="007668A1"/>
    <w:rsid w:val="00767F60"/>
    <w:rsid w:val="007722E0"/>
    <w:rsid w:val="00774451"/>
    <w:rsid w:val="00781FFD"/>
    <w:rsid w:val="00787B15"/>
    <w:rsid w:val="00791B3F"/>
    <w:rsid w:val="00792A5B"/>
    <w:rsid w:val="0079533D"/>
    <w:rsid w:val="00797854"/>
    <w:rsid w:val="00797A81"/>
    <w:rsid w:val="007A4756"/>
    <w:rsid w:val="007A5CA0"/>
    <w:rsid w:val="007B2BF8"/>
    <w:rsid w:val="007B6797"/>
    <w:rsid w:val="007C03B3"/>
    <w:rsid w:val="007C4187"/>
    <w:rsid w:val="007D092B"/>
    <w:rsid w:val="007E1520"/>
    <w:rsid w:val="007E7B8B"/>
    <w:rsid w:val="007E7F5E"/>
    <w:rsid w:val="00812B30"/>
    <w:rsid w:val="00814EA2"/>
    <w:rsid w:val="0082113F"/>
    <w:rsid w:val="00821E09"/>
    <w:rsid w:val="00824831"/>
    <w:rsid w:val="00827944"/>
    <w:rsid w:val="00831026"/>
    <w:rsid w:val="00850624"/>
    <w:rsid w:val="00852149"/>
    <w:rsid w:val="00856178"/>
    <w:rsid w:val="008B0CB7"/>
    <w:rsid w:val="008B16E5"/>
    <w:rsid w:val="008B7056"/>
    <w:rsid w:val="008C259E"/>
    <w:rsid w:val="008C54EF"/>
    <w:rsid w:val="008E30FD"/>
    <w:rsid w:val="008E3B36"/>
    <w:rsid w:val="008F15BD"/>
    <w:rsid w:val="008F2740"/>
    <w:rsid w:val="008F3CDA"/>
    <w:rsid w:val="008F4AA7"/>
    <w:rsid w:val="008F67D3"/>
    <w:rsid w:val="008F7C42"/>
    <w:rsid w:val="00900FE3"/>
    <w:rsid w:val="009061CB"/>
    <w:rsid w:val="00912302"/>
    <w:rsid w:val="00914283"/>
    <w:rsid w:val="00937C1C"/>
    <w:rsid w:val="0094708C"/>
    <w:rsid w:val="009511AC"/>
    <w:rsid w:val="00965871"/>
    <w:rsid w:val="00987B25"/>
    <w:rsid w:val="009A0E2D"/>
    <w:rsid w:val="009A1288"/>
    <w:rsid w:val="009B49F8"/>
    <w:rsid w:val="009B6AB8"/>
    <w:rsid w:val="009C3F2F"/>
    <w:rsid w:val="009C57DD"/>
    <w:rsid w:val="009D0B9A"/>
    <w:rsid w:val="009D6DBE"/>
    <w:rsid w:val="009D7591"/>
    <w:rsid w:val="009E5E28"/>
    <w:rsid w:val="009E6D22"/>
    <w:rsid w:val="009E6D86"/>
    <w:rsid w:val="009F528C"/>
    <w:rsid w:val="00A25333"/>
    <w:rsid w:val="00A40D39"/>
    <w:rsid w:val="00A509CA"/>
    <w:rsid w:val="00A50BE5"/>
    <w:rsid w:val="00A5450D"/>
    <w:rsid w:val="00A60C71"/>
    <w:rsid w:val="00A71FA0"/>
    <w:rsid w:val="00A90069"/>
    <w:rsid w:val="00AA3753"/>
    <w:rsid w:val="00AA3F86"/>
    <w:rsid w:val="00AA7AB6"/>
    <w:rsid w:val="00AB1745"/>
    <w:rsid w:val="00AB4E02"/>
    <w:rsid w:val="00AD038E"/>
    <w:rsid w:val="00AF0075"/>
    <w:rsid w:val="00AF1565"/>
    <w:rsid w:val="00AF35CB"/>
    <w:rsid w:val="00AF4A96"/>
    <w:rsid w:val="00B164E9"/>
    <w:rsid w:val="00B2425E"/>
    <w:rsid w:val="00B25E80"/>
    <w:rsid w:val="00B265D5"/>
    <w:rsid w:val="00B3779F"/>
    <w:rsid w:val="00B401AB"/>
    <w:rsid w:val="00B525F8"/>
    <w:rsid w:val="00B64944"/>
    <w:rsid w:val="00B75426"/>
    <w:rsid w:val="00B77552"/>
    <w:rsid w:val="00B778E7"/>
    <w:rsid w:val="00B942BB"/>
    <w:rsid w:val="00B94948"/>
    <w:rsid w:val="00B94A1C"/>
    <w:rsid w:val="00BA117E"/>
    <w:rsid w:val="00BA4696"/>
    <w:rsid w:val="00BB0617"/>
    <w:rsid w:val="00BB1BC2"/>
    <w:rsid w:val="00BC03DA"/>
    <w:rsid w:val="00BC6E9A"/>
    <w:rsid w:val="00BD19B6"/>
    <w:rsid w:val="00BD1A0D"/>
    <w:rsid w:val="00BD4C16"/>
    <w:rsid w:val="00BF294E"/>
    <w:rsid w:val="00BF7C9F"/>
    <w:rsid w:val="00C03826"/>
    <w:rsid w:val="00C05E5F"/>
    <w:rsid w:val="00C157DB"/>
    <w:rsid w:val="00C234D3"/>
    <w:rsid w:val="00C30A5F"/>
    <w:rsid w:val="00C40246"/>
    <w:rsid w:val="00C43360"/>
    <w:rsid w:val="00C5023D"/>
    <w:rsid w:val="00C55B56"/>
    <w:rsid w:val="00C66E20"/>
    <w:rsid w:val="00C67CB9"/>
    <w:rsid w:val="00C70475"/>
    <w:rsid w:val="00C70797"/>
    <w:rsid w:val="00C71994"/>
    <w:rsid w:val="00C736AF"/>
    <w:rsid w:val="00C746EA"/>
    <w:rsid w:val="00C85406"/>
    <w:rsid w:val="00C87F31"/>
    <w:rsid w:val="00CA088B"/>
    <w:rsid w:val="00CB4D5E"/>
    <w:rsid w:val="00CC50D9"/>
    <w:rsid w:val="00CC616A"/>
    <w:rsid w:val="00CD3DF8"/>
    <w:rsid w:val="00CE62B7"/>
    <w:rsid w:val="00CF0474"/>
    <w:rsid w:val="00CF5E14"/>
    <w:rsid w:val="00D14485"/>
    <w:rsid w:val="00D14D2D"/>
    <w:rsid w:val="00D215FC"/>
    <w:rsid w:val="00D24BE4"/>
    <w:rsid w:val="00D25B08"/>
    <w:rsid w:val="00D26E0B"/>
    <w:rsid w:val="00D53B6F"/>
    <w:rsid w:val="00D545B0"/>
    <w:rsid w:val="00D563FA"/>
    <w:rsid w:val="00D56669"/>
    <w:rsid w:val="00D62CB3"/>
    <w:rsid w:val="00D72B3C"/>
    <w:rsid w:val="00D80781"/>
    <w:rsid w:val="00D94ADA"/>
    <w:rsid w:val="00D951A0"/>
    <w:rsid w:val="00DB6402"/>
    <w:rsid w:val="00DC3A27"/>
    <w:rsid w:val="00DC5615"/>
    <w:rsid w:val="00DC738C"/>
    <w:rsid w:val="00E01821"/>
    <w:rsid w:val="00E115F0"/>
    <w:rsid w:val="00E15932"/>
    <w:rsid w:val="00E176EC"/>
    <w:rsid w:val="00E305A0"/>
    <w:rsid w:val="00E31CD2"/>
    <w:rsid w:val="00E40012"/>
    <w:rsid w:val="00E44EE9"/>
    <w:rsid w:val="00E50094"/>
    <w:rsid w:val="00E52AD5"/>
    <w:rsid w:val="00E605E2"/>
    <w:rsid w:val="00E60C44"/>
    <w:rsid w:val="00E65758"/>
    <w:rsid w:val="00E66C28"/>
    <w:rsid w:val="00E86159"/>
    <w:rsid w:val="00E9664C"/>
    <w:rsid w:val="00EA6E42"/>
    <w:rsid w:val="00EA7BBC"/>
    <w:rsid w:val="00EB0DD2"/>
    <w:rsid w:val="00ED005C"/>
    <w:rsid w:val="00ED4DFE"/>
    <w:rsid w:val="00EE172B"/>
    <w:rsid w:val="00EE383F"/>
    <w:rsid w:val="00EF27F0"/>
    <w:rsid w:val="00EF4B5D"/>
    <w:rsid w:val="00EF6B92"/>
    <w:rsid w:val="00F026A8"/>
    <w:rsid w:val="00F063BC"/>
    <w:rsid w:val="00F07ACC"/>
    <w:rsid w:val="00F13762"/>
    <w:rsid w:val="00F14589"/>
    <w:rsid w:val="00F17185"/>
    <w:rsid w:val="00F309FB"/>
    <w:rsid w:val="00F34901"/>
    <w:rsid w:val="00F401C0"/>
    <w:rsid w:val="00F622AD"/>
    <w:rsid w:val="00F7401F"/>
    <w:rsid w:val="00F74BBA"/>
    <w:rsid w:val="00F76FB7"/>
    <w:rsid w:val="00F8058B"/>
    <w:rsid w:val="00F80978"/>
    <w:rsid w:val="00F92328"/>
    <w:rsid w:val="00FA0334"/>
    <w:rsid w:val="00FB0B5B"/>
    <w:rsid w:val="00FC5B16"/>
    <w:rsid w:val="00FF464A"/>
    <w:rsid w:val="302FBA84"/>
    <w:rsid w:val="5B3DC85D"/>
    <w:rsid w:val="76FF317C"/>
    <w:rsid w:val="79BAD831"/>
    <w:rsid w:val="7FE8BD0E"/>
    <w:rsid w:val="7FF7D34D"/>
    <w:rsid w:val="B45A2965"/>
    <w:rsid w:val="BFBC3739"/>
    <w:rsid w:val="C5FE3E7E"/>
    <w:rsid w:val="E9729055"/>
    <w:rsid w:val="E9F7BE17"/>
    <w:rsid w:val="EADFF82E"/>
    <w:rsid w:val="EBB4A439"/>
    <w:rsid w:val="EF77AE84"/>
    <w:rsid w:val="FAFFC1F2"/>
    <w:rsid w:val="FF17C894"/>
    <w:rsid w:val="FFF7C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styleId="14">
    <w:name w:val="annotation reference"/>
    <w:basedOn w:val="10"/>
    <w:semiHidden/>
    <w:unhideWhenUsed/>
    <w:qFormat/>
    <w:uiPriority w:val="99"/>
    <w:rPr>
      <w:sz w:val="21"/>
      <w:szCs w:val="21"/>
    </w:rPr>
  </w:style>
  <w:style w:type="character" w:customStyle="1" w:styleId="15">
    <w:name w:val="页眉 Char"/>
    <w:basedOn w:val="10"/>
    <w:link w:val="5"/>
    <w:qFormat/>
    <w:uiPriority w:val="99"/>
    <w:rPr>
      <w:sz w:val="18"/>
      <w:szCs w:val="18"/>
    </w:rPr>
  </w:style>
  <w:style w:type="character" w:customStyle="1" w:styleId="16">
    <w:name w:val="页脚 Char"/>
    <w:basedOn w:val="10"/>
    <w:link w:val="4"/>
    <w:qFormat/>
    <w:uiPriority w:val="99"/>
    <w:rPr>
      <w:sz w:val="18"/>
      <w:szCs w:val="18"/>
    </w:rPr>
  </w:style>
  <w:style w:type="character" w:customStyle="1" w:styleId="17">
    <w:name w:val="批注框文本 Char"/>
    <w:basedOn w:val="10"/>
    <w:link w:val="3"/>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文字 Char"/>
    <w:basedOn w:val="10"/>
    <w:link w:val="2"/>
    <w:semiHidden/>
    <w:qFormat/>
    <w:uiPriority w:val="99"/>
  </w:style>
  <w:style w:type="character" w:customStyle="1" w:styleId="20">
    <w:name w:val="批注主题 Char"/>
    <w:basedOn w:val="19"/>
    <w:link w:val="7"/>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1464</Words>
  <Characters>8350</Characters>
  <Lines>69</Lines>
  <Paragraphs>19</Paragraphs>
  <TotalTime>1</TotalTime>
  <ScaleCrop>false</ScaleCrop>
  <LinksUpToDate>false</LinksUpToDate>
  <CharactersWithSpaces>9795</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2022-12-20T10:24:00Z</dcterms:created>
  <dc:creator>Chen</dc:creator>
  <cp:lastModifiedBy>桓</cp:lastModifiedBy>
  <dcterms:modified xsi:type="dcterms:W3CDTF">2022-12-23T09:06:57Z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8400A0B48A2AA0C42025A463C38D05B2</vt:lpwstr>
  </property>
</Properties>
</file>