
<file path=[Content_Types].xml><?xml version="1.0" encoding="utf-8"?>
<Types xmlns="http://schemas.openxmlformats.org/package/2006/content-types">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line="360" w:lineRule="auto"/>
        <w:jc w:val="center"/>
        <w:rPr>
          <w:rFonts w:ascii="Times New Roman" w:hAnsi="Times New Roman" w:eastAsia="宋体"/>
          <w:b/>
          <w:sz w:val="36"/>
          <w:szCs w:val="36"/>
        </w:rPr>
      </w:pPr>
      <w:r>
        <w:rPr>
          <w:rFonts w:hint="eastAsia" w:ascii="黑体" w:hAnsi="黑体" w:eastAsia="黑体" w:cs="Arial"/>
          <w:b/>
          <w:bCs/>
          <w:kern w:val="0"/>
          <w:sz w:val="28"/>
          <w:szCs w:val="28"/>
          <w:shd w:val="clear" w:color="auto" w:fill="FFFFFF"/>
        </w:rPr>
        <w:t>【学术前沿动态】</w:t>
      </w:r>
      <w:r>
        <w:rPr>
          <w:rFonts w:hint="eastAsia" w:ascii="Times New Roman" w:hAnsi="Times New Roman" w:eastAsia="宋体"/>
          <w:b/>
          <w:sz w:val="28"/>
          <w:szCs w:val="28"/>
        </w:rPr>
        <w:t>2</w:t>
      </w:r>
      <w:r>
        <w:rPr>
          <w:rFonts w:ascii="Times New Roman" w:hAnsi="Times New Roman" w:eastAsia="宋体"/>
          <w:b/>
          <w:sz w:val="28"/>
          <w:szCs w:val="28"/>
        </w:rPr>
        <w:t>02</w:t>
      </w:r>
      <w:r>
        <w:rPr>
          <w:rFonts w:hint="eastAsia" w:ascii="Times New Roman" w:hAnsi="Times New Roman" w:eastAsia="宋体"/>
          <w:b/>
          <w:sz w:val="28"/>
          <w:szCs w:val="28"/>
        </w:rPr>
        <w:t>2年诺贝尔经济学奖相关论文分析</w:t>
      </w:r>
    </w:p>
    <w:p>
      <w:pPr>
        <w:spacing w:after="156" w:afterLines="50" w:line="276"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2022年10月10日，诺贝尔经济学奖联合授予美联储前主席本·伯南克（Ben S.Bernanke）、芝加哥大学布斯商学院教授道格拉斯·戴蒙德（Douglas W.Diamond）和圣路易斯华盛顿大学教授菲利普·迪布维格（Philip H.Dybvig），以表彰他们对</w:t>
      </w:r>
      <w:r>
        <w:rPr>
          <w:rFonts w:hint="eastAsia" w:ascii="Times New Roman" w:hAnsi="Times New Roman" w:eastAsia="宋体" w:cs="Times New Roman"/>
          <w:b/>
          <w:sz w:val="24"/>
        </w:rPr>
        <w:t>“银行和金融危机的研究”</w:t>
      </w:r>
      <w:r>
        <w:rPr>
          <w:rFonts w:hint="eastAsia" w:ascii="Times New Roman" w:hAnsi="Times New Roman" w:eastAsia="宋体" w:cs="Times New Roman"/>
          <w:sz w:val="24"/>
        </w:rPr>
        <w:t>。以下对三位诺奖得主相关主题的学术论文</w:t>
      </w:r>
      <w:r>
        <w:rPr>
          <w:rFonts w:hint="eastAsia" w:ascii="Times New Roman" w:hAnsi="Times New Roman" w:eastAsia="宋体" w:cs="Times New Roman"/>
          <w:sz w:val="24"/>
          <w:lang w:eastAsia="zh-Hans"/>
        </w:rPr>
        <w:t>及</w:t>
      </w:r>
      <w:r>
        <w:rPr>
          <w:rFonts w:hint="eastAsia" w:ascii="Times New Roman" w:hAnsi="Times New Roman" w:eastAsia="宋体" w:cs="Times New Roman"/>
          <w:sz w:val="24"/>
        </w:rPr>
        <w:t>其相关施引文献展开分析。</w:t>
      </w:r>
    </w:p>
    <w:p>
      <w:pPr>
        <w:spacing w:after="156" w:afterLines="50" w:line="276" w:lineRule="auto"/>
        <w:jc w:val="left"/>
        <w:rPr>
          <w:rFonts w:ascii="Times New Roman" w:hAnsi="Times New Roman" w:eastAsia="宋体" w:cs="Times New Roman"/>
          <w:b/>
          <w:bCs/>
          <w:sz w:val="24"/>
        </w:rPr>
      </w:pPr>
      <w:r>
        <w:rPr>
          <w:rFonts w:hint="eastAsia" w:ascii="Times New Roman" w:hAnsi="Times New Roman" w:eastAsia="宋体" w:cs="Times New Roman"/>
          <w:b/>
          <w:bCs/>
          <w:sz w:val="24"/>
        </w:rPr>
        <w:t>1.获奖者</w:t>
      </w:r>
      <w:r>
        <w:rPr>
          <w:rFonts w:hint="eastAsia" w:ascii="Times New Roman" w:hAnsi="Times New Roman" w:eastAsia="宋体" w:cs="Times New Roman"/>
          <w:b/>
          <w:bCs/>
          <w:sz w:val="24"/>
          <w:lang w:eastAsia="zh-Hans"/>
        </w:rPr>
        <w:t>的</w:t>
      </w:r>
      <w:r>
        <w:rPr>
          <w:rFonts w:hint="eastAsia" w:ascii="Times New Roman" w:hAnsi="Times New Roman" w:eastAsia="宋体" w:cs="Times New Roman"/>
          <w:b/>
          <w:bCs/>
          <w:sz w:val="24"/>
        </w:rPr>
        <w:t>发文分析</w:t>
      </w:r>
    </w:p>
    <w:p>
      <w:pPr>
        <w:spacing w:after="156" w:afterLines="50" w:line="276"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在</w:t>
      </w:r>
      <w:r>
        <w:rPr>
          <w:rFonts w:ascii="Times New Roman" w:hAnsi="Times New Roman" w:eastAsia="宋体" w:cs="Times New Roman"/>
          <w:sz w:val="24"/>
        </w:rPr>
        <w:t>SCIE/SSCI</w:t>
      </w:r>
      <w:r>
        <w:rPr>
          <w:rFonts w:hint="eastAsia" w:ascii="Times New Roman" w:hAnsi="Times New Roman" w:eastAsia="宋体" w:cs="Times New Roman"/>
          <w:sz w:val="24"/>
        </w:rPr>
        <w:t>/A&amp;HCI/CPCI中检索三位获奖者相关主题的</w:t>
      </w:r>
      <w:r>
        <w:rPr>
          <w:rFonts w:ascii="Times New Roman" w:hAnsi="Times New Roman" w:eastAsia="宋体" w:cs="Times New Roman"/>
          <w:sz w:val="24"/>
        </w:rPr>
        <w:t>论文</w:t>
      </w:r>
      <w:r>
        <w:rPr>
          <w:rFonts w:hint="eastAsia" w:ascii="Times New Roman" w:hAnsi="Times New Roman" w:eastAsia="宋体" w:cs="Times New Roman"/>
          <w:sz w:val="24"/>
        </w:rPr>
        <w:t>，共138</w:t>
      </w:r>
      <w:r>
        <w:rPr>
          <w:rFonts w:ascii="Times New Roman" w:hAnsi="Times New Roman" w:eastAsia="宋体" w:cs="Times New Roman"/>
          <w:sz w:val="24"/>
        </w:rPr>
        <w:t>篇，最早发文</w:t>
      </w:r>
      <w:r>
        <w:rPr>
          <w:rFonts w:hint="eastAsia" w:ascii="Times New Roman" w:hAnsi="Times New Roman" w:eastAsia="宋体" w:cs="Times New Roman"/>
          <w:sz w:val="24"/>
        </w:rPr>
        <w:t>年份为1980</w:t>
      </w:r>
      <w:r>
        <w:rPr>
          <w:rFonts w:ascii="Times New Roman" w:hAnsi="Times New Roman" w:eastAsia="宋体" w:cs="Times New Roman"/>
          <w:sz w:val="24"/>
        </w:rPr>
        <w:t>年</w:t>
      </w:r>
      <w:r>
        <w:rPr>
          <w:rFonts w:hint="eastAsia" w:ascii="Times New Roman" w:hAnsi="Times New Roman" w:eastAsia="宋体" w:cs="Times New Roman"/>
          <w:sz w:val="24"/>
        </w:rPr>
        <w:t>，各年度的发文分布如图1所示。</w:t>
      </w:r>
    </w:p>
    <w:p>
      <w:pPr>
        <w:jc w:val="center"/>
        <w:rPr>
          <w:rFonts w:ascii="Times New Roman" w:hAnsi="Times New Roman" w:eastAsia="宋体"/>
        </w:rPr>
      </w:pPr>
      <w:r>
        <w:drawing>
          <wp:inline distT="0" distB="0" distL="114300" distR="114300">
            <wp:extent cx="5268595" cy="2981325"/>
            <wp:effectExtent l="0" t="0" r="825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2981325"/>
                    </a:xfrm>
                    <a:prstGeom prst="rect">
                      <a:avLst/>
                    </a:prstGeom>
                    <a:noFill/>
                    <a:ln>
                      <a:noFill/>
                    </a:ln>
                  </pic:spPr>
                </pic:pic>
              </a:graphicData>
            </a:graphic>
          </wp:inline>
        </w:drawing>
      </w:r>
    </w:p>
    <w:p>
      <w:pPr>
        <w:spacing w:after="156" w:afterLines="50"/>
        <w:jc w:val="center"/>
        <w:rPr>
          <w:rFonts w:ascii="华文楷体" w:hAnsi="华文楷体" w:eastAsia="华文楷体"/>
          <w:kern w:val="0"/>
          <w:szCs w:val="21"/>
        </w:rPr>
      </w:pPr>
      <w:r>
        <w:rPr>
          <w:rFonts w:hint="eastAsia" w:ascii="华文楷体" w:hAnsi="华文楷体" w:eastAsia="华文楷体"/>
          <w:kern w:val="0"/>
          <w:szCs w:val="21"/>
        </w:rPr>
        <w:t>图</w:t>
      </w:r>
      <w:r>
        <w:rPr>
          <w:rFonts w:ascii="华文楷体" w:hAnsi="华文楷体" w:eastAsia="华文楷体"/>
          <w:kern w:val="0"/>
          <w:szCs w:val="21"/>
        </w:rPr>
        <w:t xml:space="preserve">1  </w:t>
      </w:r>
      <w:r>
        <w:rPr>
          <w:rFonts w:ascii="Times New Roman" w:hAnsi="Times New Roman" w:eastAsia="宋体" w:cs="Times New Roman"/>
          <w:sz w:val="21"/>
          <w:szCs w:val="21"/>
        </w:rPr>
        <w:t>SCIE/SSCI/A&amp;HCI/CPCI</w:t>
      </w:r>
      <w:r>
        <w:rPr>
          <w:rFonts w:hint="eastAsia" w:ascii="华文楷体" w:hAnsi="华文楷体" w:eastAsia="华文楷体"/>
          <w:kern w:val="0"/>
          <w:szCs w:val="21"/>
        </w:rPr>
        <w:t>论文年度分布</w:t>
      </w:r>
    </w:p>
    <w:p>
      <w:pPr>
        <w:spacing w:after="156" w:afterLines="50" w:line="276"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其中，</w:t>
      </w:r>
      <w:r>
        <w:rPr>
          <w:rFonts w:hint="eastAsia" w:ascii="Times New Roman" w:hAnsi="Times New Roman" w:eastAsia="宋体" w:cs="宋体"/>
          <w:sz w:val="24"/>
        </w:rPr>
        <w:t>被引次数超过500的论文18篇；最高被引达2933次，为</w:t>
      </w:r>
      <w:r>
        <w:rPr>
          <w:rFonts w:hint="eastAsia" w:ascii="Times New Roman" w:hAnsi="Times New Roman" w:eastAsia="宋体" w:cs="Times New Roman"/>
          <w:sz w:val="24"/>
        </w:rPr>
        <w:t>戴蒙德和迪布维格于1983年合著发表于</w:t>
      </w:r>
      <w:r>
        <w:rPr>
          <w:rFonts w:hint="eastAsia" w:ascii="Times New Roman" w:hAnsi="Times New Roman" w:eastAsia="宋体" w:cs="Times New Roman"/>
          <w:i/>
          <w:iCs/>
          <w:sz w:val="24"/>
        </w:rPr>
        <w:t>Journal of Political Economy</w:t>
      </w:r>
      <w:r>
        <w:rPr>
          <w:rFonts w:hint="eastAsia" w:ascii="Times New Roman" w:hAnsi="Times New Roman" w:eastAsia="宋体" w:cs="Times New Roman"/>
          <w:sz w:val="24"/>
        </w:rPr>
        <w:t>的论文“Bank runs,</w:t>
      </w:r>
      <w:r>
        <w:rPr>
          <w:rFonts w:ascii="Times New Roman" w:hAnsi="Times New Roman" w:eastAsia="宋体" w:cs="Times New Roman"/>
          <w:sz w:val="24"/>
        </w:rPr>
        <w:t xml:space="preserve"> </w:t>
      </w:r>
      <w:r>
        <w:rPr>
          <w:rFonts w:hint="eastAsia" w:ascii="Times New Roman" w:hAnsi="Times New Roman" w:eastAsia="宋体" w:cs="Times New Roman"/>
          <w:sz w:val="24"/>
        </w:rPr>
        <w:t>deposit insurance,and liquidity”（</w:t>
      </w:r>
      <w:r>
        <w:rPr>
          <w:rFonts w:hint="eastAsia" w:ascii="Arial" w:hAnsi="Arial" w:eastAsia="Arial" w:cs="Arial"/>
          <w:sz w:val="24"/>
          <w:shd w:val="clear" w:color="auto" w:fill="FFFFFF"/>
        </w:rPr>
        <w:t>《银行挤兑、存款保险和流动性》</w:t>
      </w:r>
      <w:r>
        <w:rPr>
          <w:rFonts w:hint="eastAsia" w:ascii="Times New Roman" w:hAnsi="Times New Roman" w:eastAsia="宋体" w:cs="Times New Roman"/>
          <w:sz w:val="24"/>
        </w:rPr>
        <w:t>）；其次是戴蒙德于1984年在</w:t>
      </w:r>
      <w:r>
        <w:rPr>
          <w:rFonts w:hint="eastAsia" w:ascii="Times New Roman" w:hAnsi="Times New Roman" w:eastAsia="宋体" w:cs="Times New Roman"/>
          <w:i/>
          <w:iCs/>
          <w:sz w:val="24"/>
        </w:rPr>
        <w:t>Review of Economic Studies</w:t>
      </w:r>
      <w:r>
        <w:rPr>
          <w:rFonts w:hint="eastAsia" w:ascii="Times New Roman" w:hAnsi="Times New Roman" w:eastAsia="宋体" w:cs="Times New Roman"/>
          <w:sz w:val="24"/>
        </w:rPr>
        <w:t>上发表的论文“Financial Intermediation and delegated monitoring”（</w:t>
      </w:r>
      <w:r>
        <w:rPr>
          <w:rFonts w:hint="eastAsia" w:ascii="Arial" w:hAnsi="Arial" w:eastAsia="Arial" w:cs="Arial"/>
          <w:sz w:val="24"/>
          <w:shd w:val="clear" w:color="auto" w:fill="FFFFFF"/>
        </w:rPr>
        <w:t>《</w:t>
      </w:r>
      <w:r>
        <w:rPr>
          <w:rFonts w:hint="eastAsia" w:ascii="Arial" w:hAnsi="Arial" w:eastAsia="宋体" w:cs="Arial"/>
          <w:sz w:val="24"/>
          <w:shd w:val="clear" w:color="auto" w:fill="FFFFFF"/>
        </w:rPr>
        <w:t>金融中介和委托监控</w:t>
      </w:r>
      <w:r>
        <w:rPr>
          <w:rFonts w:hint="eastAsia" w:ascii="Arial" w:hAnsi="Arial" w:eastAsia="Arial" w:cs="Arial"/>
          <w:sz w:val="24"/>
          <w:shd w:val="clear" w:color="auto" w:fill="FFFFFF"/>
        </w:rPr>
        <w:t>》</w:t>
      </w:r>
      <w:r>
        <w:rPr>
          <w:rFonts w:hint="eastAsia" w:ascii="Times New Roman" w:hAnsi="Times New Roman" w:eastAsia="宋体" w:cs="Times New Roman"/>
          <w:sz w:val="24"/>
        </w:rPr>
        <w:t>），被引2766次；第三为伯南克和格特勒合著于1989年发表在</w:t>
      </w:r>
      <w:r>
        <w:rPr>
          <w:rFonts w:hint="eastAsia" w:ascii="Times New Roman" w:hAnsi="Times New Roman" w:eastAsia="宋体" w:cs="Times New Roman"/>
          <w:i/>
          <w:iCs/>
          <w:sz w:val="24"/>
        </w:rPr>
        <w:t>American Economic Review</w:t>
      </w:r>
      <w:r>
        <w:rPr>
          <w:rFonts w:hint="eastAsia" w:ascii="Times New Roman" w:hAnsi="Times New Roman" w:eastAsia="宋体" w:cs="Times New Roman"/>
          <w:sz w:val="24"/>
        </w:rPr>
        <w:t>的论文“Agency costs, net worth, and business fluctuations”（《代理成本、净值和商业波动》），被引2766次。获奖者的138篇相关主题论文主要涉及经济、金融等领域，分布于41种期刊</w:t>
      </w:r>
      <w:r>
        <w:rPr>
          <w:rFonts w:ascii="Times New Roman" w:hAnsi="Times New Roman" w:eastAsia="宋体" w:cs="Times New Roman"/>
          <w:sz w:val="24"/>
        </w:rPr>
        <w:t>；</w:t>
      </w:r>
      <w:r>
        <w:rPr>
          <w:rFonts w:hint="eastAsia" w:ascii="Times New Roman" w:hAnsi="Times New Roman" w:eastAsia="宋体" w:cs="Times New Roman"/>
          <w:sz w:val="24"/>
        </w:rPr>
        <w:t>其中发文量居前4位的期刊依次为：</w:t>
      </w:r>
      <w:r>
        <w:rPr>
          <w:rFonts w:hint="eastAsia" w:ascii="Times New Roman" w:hAnsi="Times New Roman" w:eastAsia="宋体" w:cs="Times New Roman"/>
          <w:i/>
          <w:iCs/>
          <w:sz w:val="24"/>
        </w:rPr>
        <w:t>American  Economic Review</w:t>
      </w:r>
      <w:r>
        <w:rPr>
          <w:rFonts w:hint="eastAsia" w:ascii="Times New Roman" w:hAnsi="Times New Roman" w:eastAsia="宋体" w:cs="Times New Roman"/>
          <w:sz w:val="24"/>
        </w:rPr>
        <w:t>（16篇）、</w:t>
      </w:r>
      <w:r>
        <w:rPr>
          <w:rFonts w:hint="eastAsia" w:ascii="Times New Roman" w:hAnsi="Times New Roman" w:eastAsia="宋体" w:cs="Times New Roman"/>
          <w:i/>
          <w:iCs/>
          <w:sz w:val="24"/>
        </w:rPr>
        <w:t>Journal of Finance</w:t>
      </w:r>
      <w:r>
        <w:rPr>
          <w:rFonts w:hint="eastAsia" w:ascii="Times New Roman" w:hAnsi="Times New Roman" w:eastAsia="宋体" w:cs="Times New Roman"/>
          <w:sz w:val="24"/>
        </w:rPr>
        <w:t>（15篇）、</w:t>
      </w:r>
      <w:r>
        <w:rPr>
          <w:rFonts w:hint="eastAsia" w:ascii="Times New Roman" w:hAnsi="Times New Roman" w:eastAsia="宋体" w:cs="Times New Roman"/>
          <w:i/>
          <w:iCs/>
          <w:sz w:val="24"/>
        </w:rPr>
        <w:t>Review of Financial Studies</w:t>
      </w:r>
      <w:r>
        <w:rPr>
          <w:rFonts w:hint="eastAsia" w:ascii="Times New Roman" w:hAnsi="Times New Roman" w:eastAsia="宋体" w:cs="Times New Roman"/>
          <w:sz w:val="24"/>
        </w:rPr>
        <w:t>（11篇）、</w:t>
      </w:r>
      <w:r>
        <w:rPr>
          <w:rFonts w:hint="eastAsia" w:ascii="Times New Roman" w:hAnsi="Times New Roman" w:eastAsia="宋体" w:cs="Times New Roman"/>
          <w:i/>
          <w:iCs/>
          <w:sz w:val="24"/>
        </w:rPr>
        <w:t>Journal of Political Economy</w:t>
      </w:r>
      <w:r>
        <w:rPr>
          <w:rFonts w:hint="eastAsia" w:ascii="Times New Roman" w:hAnsi="Times New Roman" w:eastAsia="宋体" w:cs="Times New Roman"/>
          <w:sz w:val="24"/>
        </w:rPr>
        <w:t>（10篇）上，占所有</w:t>
      </w:r>
      <w:r>
        <w:rPr>
          <w:rFonts w:hint="eastAsia" w:ascii="Times New Roman" w:hAnsi="Times New Roman" w:eastAsia="宋体" w:cs="Times New Roman"/>
          <w:sz w:val="24"/>
          <w:lang w:eastAsia="zh-Hans"/>
        </w:rPr>
        <w:t>论文</w:t>
      </w:r>
      <w:r>
        <w:rPr>
          <w:rFonts w:hint="eastAsia" w:ascii="Times New Roman" w:hAnsi="Times New Roman" w:eastAsia="宋体" w:cs="Times New Roman"/>
          <w:sz w:val="24"/>
        </w:rPr>
        <w:t>的38%。</w:t>
      </w:r>
    </w:p>
    <w:p>
      <w:pPr>
        <w:spacing w:after="156" w:afterLines="50" w:line="276" w:lineRule="auto"/>
        <w:ind w:firstLine="480" w:firstLineChars="200"/>
        <w:jc w:val="center"/>
        <w:rPr>
          <w:rFonts w:ascii="Times New Roman" w:hAnsi="Times New Roman" w:eastAsia="宋体" w:cs="Times New Roman"/>
          <w:sz w:val="24"/>
        </w:rPr>
      </w:pPr>
      <w:r>
        <w:rPr>
          <w:rFonts w:hint="eastAsia" w:ascii="Times New Roman" w:hAnsi="Times New Roman" w:eastAsia="宋体" w:cs="Times New Roman"/>
          <w:sz w:val="24"/>
        </w:rPr>
        <w:t>三位诺贝尔经济学获奖者的论文与学术专著详见经济与管理学科服务平台：</w:t>
      </w:r>
      <w:r>
        <w:fldChar w:fldCharType="begin"/>
      </w:r>
      <w:r>
        <w:instrText xml:space="preserve"> HYPERLINK "https://libguides.lib.whu.edu.cn/c.php?g=665817&amp;p=6766521" </w:instrText>
      </w:r>
      <w:r>
        <w:fldChar w:fldCharType="separate"/>
      </w:r>
      <w:r>
        <w:rPr>
          <w:rStyle w:val="13"/>
          <w:rFonts w:ascii="宋体" w:hAnsi="宋体" w:eastAsia="宋体" w:cs="宋体"/>
          <w:color w:val="auto"/>
          <w:sz w:val="24"/>
        </w:rPr>
        <w:t>https://libguides.lib.whu.edu.cn/c.php?g=665817&amp;p=6766521</w:t>
      </w:r>
      <w:r>
        <w:rPr>
          <w:rStyle w:val="13"/>
          <w:rFonts w:ascii="宋体" w:hAnsi="宋体" w:eastAsia="宋体" w:cs="宋体"/>
          <w:color w:val="auto"/>
          <w:sz w:val="24"/>
        </w:rPr>
        <w:fldChar w:fldCharType="end"/>
      </w:r>
    </w:p>
    <w:p>
      <w:pPr>
        <w:spacing w:after="156" w:afterLines="50"/>
        <w:jc w:val="left"/>
        <w:rPr>
          <w:rFonts w:ascii="Times New Roman" w:hAnsi="Times New Roman" w:eastAsia="宋体"/>
          <w:b/>
          <w:bCs/>
          <w:sz w:val="24"/>
        </w:rPr>
      </w:pPr>
    </w:p>
    <w:p>
      <w:pPr>
        <w:spacing w:after="156" w:afterLines="50"/>
        <w:jc w:val="left"/>
        <w:rPr>
          <w:rFonts w:ascii="Times New Roman" w:hAnsi="Times New Roman" w:eastAsia="宋体"/>
          <w:b/>
          <w:bCs/>
          <w:sz w:val="24"/>
        </w:rPr>
      </w:pPr>
      <w:r>
        <w:rPr>
          <w:rFonts w:ascii="Times New Roman" w:hAnsi="Times New Roman" w:eastAsia="宋体"/>
          <w:b/>
          <w:bCs/>
          <w:sz w:val="24"/>
        </w:rPr>
        <w:t>2.</w:t>
      </w:r>
      <w:r>
        <w:rPr>
          <w:rFonts w:hint="eastAsia" w:ascii="Times New Roman" w:hAnsi="Times New Roman" w:eastAsia="宋体"/>
          <w:b/>
          <w:bCs/>
          <w:sz w:val="24"/>
        </w:rPr>
        <w:t>相关施引文献分析</w:t>
      </w:r>
    </w:p>
    <w:p>
      <w:pPr>
        <w:spacing w:after="156" w:afterLines="50" w:line="276" w:lineRule="auto"/>
        <w:ind w:firstLine="480" w:firstLineChars="200"/>
        <w:rPr>
          <w:rFonts w:ascii="Times New Roman" w:hAnsi="Times New Roman" w:eastAsia="宋体" w:cstheme="minorEastAsia"/>
          <w:sz w:val="24"/>
        </w:rPr>
      </w:pPr>
      <w:r>
        <w:rPr>
          <w:rFonts w:hint="eastAsia" w:ascii="Times New Roman" w:hAnsi="Times New Roman" w:eastAsia="宋体" w:cstheme="minorEastAsia"/>
          <w:sz w:val="24"/>
        </w:rPr>
        <w:t>截至2</w:t>
      </w:r>
      <w:r>
        <w:rPr>
          <w:rFonts w:ascii="Times New Roman" w:hAnsi="Times New Roman" w:eastAsia="宋体" w:cstheme="minorEastAsia"/>
          <w:sz w:val="24"/>
        </w:rPr>
        <w:t>022</w:t>
      </w:r>
      <w:r>
        <w:rPr>
          <w:rFonts w:hint="eastAsia" w:ascii="Times New Roman" w:hAnsi="Times New Roman" w:eastAsia="宋体" w:cstheme="minorEastAsia"/>
          <w:sz w:val="24"/>
        </w:rPr>
        <w:t>年</w:t>
      </w:r>
      <w:r>
        <w:rPr>
          <w:rFonts w:ascii="Times New Roman" w:hAnsi="Times New Roman" w:eastAsia="宋体" w:cs="Times New Roman"/>
          <w:sz w:val="24"/>
        </w:rPr>
        <w:t>10</w:t>
      </w:r>
      <w:r>
        <w:rPr>
          <w:rFonts w:hint="eastAsia" w:ascii="Times New Roman" w:hAnsi="Times New Roman" w:eastAsia="宋体" w:cstheme="minorEastAsia"/>
          <w:sz w:val="24"/>
        </w:rPr>
        <w:t>月19日，三位诺贝尔经济学奖得主的</w:t>
      </w:r>
      <w:r>
        <w:rPr>
          <w:rFonts w:hint="eastAsia" w:ascii="Times New Roman" w:hAnsi="Times New Roman" w:eastAsia="宋体" w:cs="Times New Roman"/>
          <w:sz w:val="24"/>
        </w:rPr>
        <w:t>138</w:t>
      </w:r>
      <w:r>
        <w:rPr>
          <w:rFonts w:hint="eastAsia" w:ascii="Times New Roman" w:hAnsi="Times New Roman" w:eastAsia="宋体" w:cstheme="minorEastAsia"/>
          <w:sz w:val="24"/>
        </w:rPr>
        <w:t>篇论文被全球</w:t>
      </w:r>
      <w:r>
        <w:rPr>
          <w:rFonts w:hint="eastAsia" w:ascii="Times New Roman" w:hAnsi="Times New Roman" w:eastAsia="宋体" w:cs="Times New Roman"/>
          <w:sz w:val="24"/>
        </w:rPr>
        <w:t>19094</w:t>
      </w:r>
      <w:r>
        <w:rPr>
          <w:rFonts w:hint="eastAsia" w:ascii="Times New Roman" w:hAnsi="Times New Roman" w:eastAsia="宋体" w:cstheme="minorEastAsia"/>
          <w:sz w:val="24"/>
        </w:rPr>
        <w:t>篇论文引用，其中包括中国学者发表的2001篇论文；去除自引</w:t>
      </w:r>
      <w:r>
        <w:rPr>
          <w:rFonts w:hint="eastAsia" w:ascii="Times New Roman" w:hAnsi="Times New Roman" w:eastAsia="宋体" w:cstheme="minorEastAsia"/>
          <w:sz w:val="24"/>
          <w:lang w:eastAsia="zh-Hans"/>
        </w:rPr>
        <w:t>后</w:t>
      </w:r>
      <w:r>
        <w:rPr>
          <w:rFonts w:hint="eastAsia" w:ascii="Times New Roman" w:hAnsi="Times New Roman" w:eastAsia="宋体" w:cstheme="minorEastAsia"/>
          <w:sz w:val="24"/>
        </w:rPr>
        <w:t>总被引</w:t>
      </w:r>
      <w:r>
        <w:rPr>
          <w:rFonts w:hint="eastAsia" w:ascii="Times New Roman" w:hAnsi="Times New Roman" w:eastAsia="宋体" w:cstheme="minorEastAsia"/>
          <w:sz w:val="24"/>
          <w:lang w:eastAsia="zh-Hans"/>
        </w:rPr>
        <w:t>共计</w:t>
      </w:r>
      <w:r>
        <w:rPr>
          <w:rFonts w:hint="eastAsia" w:ascii="Times New Roman" w:hAnsi="Times New Roman" w:eastAsia="宋体" w:cstheme="minorEastAsia"/>
          <w:sz w:val="24"/>
        </w:rPr>
        <w:t>14018次，篇均被引113.97次；从全球来看，施引文献呈逐年上升趋势（如图2所示）：1982年仅7篇，2010年后增长迅速，每年超过500篇，2021年高达1801篇。近十年的施引文献中有123篇入选ESI数据库高被引论文、4篇入选ESI热点论文。</w:t>
      </w:r>
    </w:p>
    <w:p>
      <w:pPr>
        <w:spacing w:after="156" w:afterLines="50" w:line="276" w:lineRule="auto"/>
        <w:jc w:val="center"/>
        <w:rPr>
          <w:rFonts w:ascii="Times New Roman" w:hAnsi="Times New Roman" w:eastAsia="宋体" w:cstheme="minorEastAsia"/>
          <w:sz w:val="24"/>
        </w:rPr>
      </w:pPr>
      <w:r>
        <w:drawing>
          <wp:inline distT="0" distB="0" distL="114300" distR="114300">
            <wp:extent cx="5273040" cy="2536190"/>
            <wp:effectExtent l="0" t="0" r="3810"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3040" cy="2536190"/>
                    </a:xfrm>
                    <a:prstGeom prst="rect">
                      <a:avLst/>
                    </a:prstGeom>
                    <a:noFill/>
                    <a:ln>
                      <a:noFill/>
                    </a:ln>
                  </pic:spPr>
                </pic:pic>
              </a:graphicData>
            </a:graphic>
          </wp:inline>
        </w:drawing>
      </w:r>
    </w:p>
    <w:p>
      <w:pPr>
        <w:spacing w:after="156" w:afterLines="50"/>
        <w:jc w:val="center"/>
        <w:rPr>
          <w:rFonts w:ascii="华文楷体" w:hAnsi="华文楷体" w:eastAsia="华文楷体"/>
          <w:kern w:val="0"/>
          <w:szCs w:val="21"/>
        </w:rPr>
      </w:pPr>
      <w:r>
        <w:rPr>
          <w:rFonts w:hint="eastAsia" w:ascii="华文楷体" w:hAnsi="华文楷体" w:eastAsia="华文楷体"/>
          <w:kern w:val="0"/>
          <w:szCs w:val="21"/>
        </w:rPr>
        <w:t>图</w:t>
      </w:r>
      <w:r>
        <w:rPr>
          <w:rFonts w:ascii="华文楷体" w:hAnsi="华文楷体" w:eastAsia="华文楷体"/>
          <w:kern w:val="0"/>
          <w:szCs w:val="21"/>
        </w:rPr>
        <w:t xml:space="preserve">2  </w:t>
      </w:r>
      <w:r>
        <w:rPr>
          <w:rFonts w:hint="eastAsia" w:ascii="Times New Roman" w:hAnsi="Times New Roman" w:eastAsia="宋体" w:cs="Times New Roman"/>
          <w:szCs w:val="21"/>
          <w:lang w:eastAsia="zh-Hans"/>
        </w:rPr>
        <w:t>相关</w:t>
      </w:r>
      <w:r>
        <w:rPr>
          <w:rFonts w:hint="eastAsia" w:ascii="华文楷体" w:hAnsi="华文楷体" w:eastAsia="华文楷体"/>
          <w:kern w:val="0"/>
          <w:szCs w:val="21"/>
        </w:rPr>
        <w:t>施引</w:t>
      </w:r>
      <w:r>
        <w:rPr>
          <w:rFonts w:ascii="华文楷体" w:hAnsi="华文楷体" w:eastAsia="华文楷体"/>
          <w:kern w:val="0"/>
          <w:szCs w:val="21"/>
        </w:rPr>
        <w:t>文献</w:t>
      </w:r>
      <w:r>
        <w:rPr>
          <w:rFonts w:hint="eastAsia" w:ascii="华文楷体" w:hAnsi="华文楷体" w:eastAsia="华文楷体"/>
          <w:kern w:val="0"/>
          <w:szCs w:val="21"/>
        </w:rPr>
        <w:t>的年代分布（</w:t>
      </w:r>
      <w:r>
        <w:rPr>
          <w:rFonts w:ascii="华文楷体" w:hAnsi="华文楷体" w:eastAsia="华文楷体"/>
          <w:kern w:val="0"/>
          <w:szCs w:val="21"/>
        </w:rPr>
        <w:t>198</w:t>
      </w:r>
      <w:r>
        <w:rPr>
          <w:rFonts w:hint="eastAsia" w:ascii="华文楷体" w:hAnsi="华文楷体" w:eastAsia="华文楷体"/>
          <w:kern w:val="0"/>
          <w:szCs w:val="21"/>
        </w:rPr>
        <w:t>2</w:t>
      </w:r>
      <w:r>
        <w:rPr>
          <w:rFonts w:ascii="华文楷体" w:hAnsi="华文楷体" w:eastAsia="华文楷体"/>
          <w:kern w:val="0"/>
          <w:szCs w:val="21"/>
        </w:rPr>
        <w:t>-</w:t>
      </w:r>
      <w:r>
        <w:rPr>
          <w:rFonts w:hint="eastAsia" w:ascii="华文楷体" w:hAnsi="华文楷体" w:eastAsia="华文楷体"/>
          <w:kern w:val="0"/>
          <w:szCs w:val="21"/>
        </w:rPr>
        <w:t>）</w:t>
      </w:r>
    </w:p>
    <w:p>
      <w:pPr>
        <w:spacing w:after="156" w:afterLines="50" w:line="276" w:lineRule="auto"/>
        <w:ind w:firstLine="480" w:firstLineChars="200"/>
        <w:jc w:val="left"/>
        <w:rPr>
          <w:rFonts w:ascii="Times New Roman" w:hAnsi="Times New Roman" w:eastAsia="宋体" w:cstheme="minorEastAsia"/>
          <w:sz w:val="24"/>
        </w:rPr>
      </w:pPr>
      <w:r>
        <w:rPr>
          <w:rFonts w:hint="eastAsia" w:ascii="Times New Roman" w:hAnsi="Times New Roman" w:eastAsia="宋体" w:cstheme="minorEastAsia"/>
          <w:sz w:val="24"/>
        </w:rPr>
        <w:t>19094篇施引文献来自208个国家或地区，其中发文量排名前10的国家或地区依次为：美国（8307，43.51%）、英国（2117，11.09%）、中国（2001，10.48%）、德国（1252，6.569%）、意大利（1002，5.25%）、加拿大（882，4.62%）、法国（874，4.58%）、澳大利亚（805，4.22%）、西班牙（675，3.54%）、荷兰（510，2.67%）。</w:t>
      </w:r>
    </w:p>
    <w:p>
      <w:pPr>
        <w:spacing w:after="156" w:afterLines="50" w:line="276" w:lineRule="auto"/>
        <w:ind w:firstLine="480" w:firstLineChars="200"/>
        <w:rPr>
          <w:rFonts w:ascii="Times New Roman" w:hAnsi="Times New Roman" w:eastAsia="宋体" w:cstheme="minorEastAsia"/>
          <w:sz w:val="24"/>
        </w:rPr>
      </w:pPr>
      <w:r>
        <w:rPr>
          <w:rFonts w:hint="eastAsia" w:ascii="Times New Roman" w:hAnsi="Times New Roman" w:eastAsia="宋体" w:cs="Times New Roman"/>
          <w:sz w:val="24"/>
        </w:rPr>
        <w:t>19094</w:t>
      </w:r>
      <w:r>
        <w:rPr>
          <w:rFonts w:hint="eastAsia" w:ascii="Times New Roman" w:hAnsi="Times New Roman" w:eastAsia="宋体" w:cstheme="minorEastAsia"/>
          <w:sz w:val="24"/>
        </w:rPr>
        <w:t>篇施引文献分布于2131种期刊，发文量排名前20的期刊刊载相关论文5654篇，占全部相关论文的30%。</w:t>
      </w:r>
    </w:p>
    <w:p>
      <w:pPr>
        <w:spacing w:after="156" w:afterLines="50" w:line="276" w:lineRule="auto"/>
        <w:rPr>
          <w:rFonts w:ascii="Times New Roman" w:hAnsi="Times New Roman" w:eastAsia="宋体" w:cstheme="minorEastAsia"/>
          <w:sz w:val="24"/>
        </w:rPr>
      </w:pPr>
      <w:r>
        <w:drawing>
          <wp:inline distT="0" distB="0" distL="114300" distR="114300">
            <wp:extent cx="5272405" cy="3964305"/>
            <wp:effectExtent l="0" t="0" r="4445" b="1714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6"/>
                    <a:stretch>
                      <a:fillRect/>
                    </a:stretch>
                  </pic:blipFill>
                  <pic:spPr>
                    <a:xfrm>
                      <a:off x="0" y="0"/>
                      <a:ext cx="5272405" cy="3964305"/>
                    </a:xfrm>
                    <a:prstGeom prst="rect">
                      <a:avLst/>
                    </a:prstGeom>
                    <a:noFill/>
                    <a:ln>
                      <a:noFill/>
                    </a:ln>
                  </pic:spPr>
                </pic:pic>
              </a:graphicData>
            </a:graphic>
          </wp:inline>
        </w:drawing>
      </w:r>
    </w:p>
    <w:p>
      <w:pPr>
        <w:spacing w:after="156" w:afterLines="50"/>
        <w:jc w:val="center"/>
        <w:rPr>
          <w:rFonts w:ascii="华文楷体" w:hAnsi="华文楷体" w:eastAsia="华文楷体"/>
          <w:kern w:val="0"/>
          <w:szCs w:val="21"/>
        </w:rPr>
      </w:pPr>
      <w:r>
        <w:rPr>
          <w:rFonts w:hint="eastAsia" w:ascii="华文楷体" w:hAnsi="华文楷体" w:eastAsia="华文楷体"/>
          <w:kern w:val="0"/>
          <w:szCs w:val="21"/>
        </w:rPr>
        <w:t>图</w:t>
      </w:r>
      <w:r>
        <w:rPr>
          <w:rFonts w:ascii="华文楷体" w:hAnsi="华文楷体" w:eastAsia="华文楷体"/>
          <w:kern w:val="0"/>
          <w:szCs w:val="21"/>
        </w:rPr>
        <w:t xml:space="preserve">3  </w:t>
      </w:r>
      <w:r>
        <w:rPr>
          <w:rFonts w:hint="eastAsia" w:ascii="华文楷体" w:hAnsi="华文楷体" w:eastAsia="华文楷体"/>
          <w:kern w:val="0"/>
          <w:szCs w:val="21"/>
        </w:rPr>
        <w:t>施引文献的期刊分布（</w:t>
      </w:r>
      <w:r>
        <w:rPr>
          <w:rFonts w:ascii="华文楷体" w:hAnsi="华文楷体" w:eastAsia="华文楷体"/>
          <w:kern w:val="0"/>
          <w:szCs w:val="21"/>
        </w:rPr>
        <w:t>TOP 20)</w:t>
      </w:r>
    </w:p>
    <w:p>
      <w:pPr>
        <w:spacing w:after="156" w:afterLines="50" w:line="276" w:lineRule="auto"/>
        <w:ind w:firstLine="480" w:firstLineChars="200"/>
        <w:rPr>
          <w:rFonts w:ascii="Times New Roman" w:hAnsi="Times New Roman" w:eastAsia="宋体" w:cstheme="minorEastAsia"/>
          <w:sz w:val="24"/>
        </w:rPr>
      </w:pPr>
      <w:r>
        <w:rPr>
          <w:rFonts w:hint="eastAsia" w:ascii="Times New Roman" w:hAnsi="Times New Roman" w:eastAsia="宋体" w:cstheme="minorEastAsia"/>
          <w:sz w:val="24"/>
        </w:rPr>
        <w:t>19094篇施引文献中近五年发表的论文有7312篇，占全部文献的38%。其中全球发文量TOP10的机构见图3。</w:t>
      </w:r>
      <w:bookmarkStart w:id="0" w:name="_Hlk53692731"/>
    </w:p>
    <w:p>
      <w:pPr>
        <w:spacing w:after="156" w:afterLines="50" w:line="276" w:lineRule="auto"/>
        <w:jc w:val="center"/>
        <w:rPr>
          <w:rFonts w:ascii="Times New Roman" w:hAnsi="Times New Roman" w:eastAsia="宋体" w:cstheme="minorEastAsia"/>
          <w:sz w:val="24"/>
        </w:rPr>
      </w:pPr>
      <w:r>
        <w:drawing>
          <wp:inline distT="0" distB="0" distL="114300" distR="114300">
            <wp:extent cx="5271135" cy="2392045"/>
            <wp:effectExtent l="0" t="0" r="5715" b="825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7"/>
                    <a:stretch>
                      <a:fillRect/>
                    </a:stretch>
                  </pic:blipFill>
                  <pic:spPr>
                    <a:xfrm>
                      <a:off x="0" y="0"/>
                      <a:ext cx="5271135" cy="2392045"/>
                    </a:xfrm>
                    <a:prstGeom prst="rect">
                      <a:avLst/>
                    </a:prstGeom>
                    <a:noFill/>
                    <a:ln>
                      <a:noFill/>
                    </a:ln>
                  </pic:spPr>
                </pic:pic>
              </a:graphicData>
            </a:graphic>
          </wp:inline>
        </w:drawing>
      </w:r>
    </w:p>
    <w:bookmarkEnd w:id="0"/>
    <w:p>
      <w:pPr>
        <w:spacing w:after="156" w:afterLines="50"/>
        <w:jc w:val="center"/>
        <w:rPr>
          <w:rFonts w:ascii="华文楷体" w:hAnsi="华文楷体" w:eastAsia="华文楷体"/>
          <w:kern w:val="0"/>
          <w:szCs w:val="21"/>
        </w:rPr>
      </w:pPr>
      <w:r>
        <w:rPr>
          <w:rFonts w:hint="eastAsia" w:ascii="华文楷体" w:hAnsi="华文楷体" w:eastAsia="华文楷体"/>
          <w:kern w:val="0"/>
          <w:szCs w:val="21"/>
        </w:rPr>
        <w:t>图</w:t>
      </w:r>
      <w:r>
        <w:rPr>
          <w:rFonts w:ascii="华文楷体" w:hAnsi="华文楷体" w:eastAsia="华文楷体"/>
          <w:kern w:val="0"/>
          <w:szCs w:val="21"/>
        </w:rPr>
        <w:t>3  201</w:t>
      </w:r>
      <w:r>
        <w:rPr>
          <w:rFonts w:hint="eastAsia" w:ascii="华文楷体" w:hAnsi="华文楷体" w:eastAsia="华文楷体"/>
          <w:kern w:val="0"/>
          <w:szCs w:val="21"/>
        </w:rPr>
        <w:t>8</w:t>
      </w:r>
      <w:r>
        <w:rPr>
          <w:rFonts w:ascii="华文楷体" w:hAnsi="华文楷体" w:eastAsia="华文楷体"/>
          <w:kern w:val="0"/>
          <w:szCs w:val="21"/>
        </w:rPr>
        <w:t>-202</w:t>
      </w:r>
      <w:r>
        <w:rPr>
          <w:rFonts w:hint="eastAsia" w:ascii="华文楷体" w:hAnsi="华文楷体" w:eastAsia="华文楷体"/>
          <w:kern w:val="0"/>
          <w:szCs w:val="21"/>
        </w:rPr>
        <w:t>2年施引文献全球发文量</w:t>
      </w:r>
      <w:r>
        <w:rPr>
          <w:rFonts w:ascii="华文楷体" w:hAnsi="华文楷体" w:eastAsia="华文楷体"/>
          <w:kern w:val="0"/>
          <w:szCs w:val="21"/>
        </w:rPr>
        <w:t>TOP10</w:t>
      </w:r>
      <w:r>
        <w:rPr>
          <w:rFonts w:hint="eastAsia" w:ascii="华文楷体" w:hAnsi="华文楷体" w:eastAsia="华文楷体"/>
          <w:kern w:val="0"/>
          <w:szCs w:val="21"/>
        </w:rPr>
        <w:t>的机构</w:t>
      </w:r>
    </w:p>
    <w:p>
      <w:pPr>
        <w:spacing w:after="156" w:afterLines="50" w:line="276" w:lineRule="auto"/>
        <w:ind w:firstLine="480" w:firstLineChars="200"/>
        <w:jc w:val="left"/>
        <w:rPr>
          <w:rFonts w:ascii="Times New Roman" w:hAnsi="Times New Roman" w:eastAsia="宋体" w:cstheme="minorEastAsia"/>
          <w:sz w:val="24"/>
        </w:rPr>
      </w:pPr>
      <w:r>
        <w:rPr>
          <w:rFonts w:ascii="Times New Roman" w:hAnsi="Times New Roman" w:eastAsia="宋体" w:cstheme="minorEastAsia"/>
          <w:sz w:val="24"/>
        </w:rPr>
        <w:t>201</w:t>
      </w:r>
      <w:r>
        <w:rPr>
          <w:rFonts w:hint="eastAsia" w:ascii="Times New Roman" w:hAnsi="Times New Roman" w:eastAsia="宋体" w:cstheme="minorEastAsia"/>
          <w:sz w:val="24"/>
        </w:rPr>
        <w:t>8</w:t>
      </w:r>
      <w:r>
        <w:rPr>
          <w:rFonts w:ascii="Times New Roman" w:hAnsi="Times New Roman" w:eastAsia="宋体" w:cstheme="minorEastAsia"/>
          <w:sz w:val="24"/>
        </w:rPr>
        <w:t>-202</w:t>
      </w:r>
      <w:r>
        <w:rPr>
          <w:rFonts w:hint="eastAsia" w:ascii="Times New Roman" w:hAnsi="Times New Roman" w:eastAsia="宋体" w:cstheme="minorEastAsia"/>
          <w:sz w:val="24"/>
        </w:rPr>
        <w:t>2年中国有1227篇学术论文引用了三位诺贝尔奖获得者相关成果，占中国全部施引文献的75.6%。其中发文量TOP10的机构见图4。</w:t>
      </w:r>
    </w:p>
    <w:p>
      <w:pPr>
        <w:spacing w:after="156" w:afterLines="50" w:line="276" w:lineRule="auto"/>
        <w:jc w:val="center"/>
        <w:rPr>
          <w:rFonts w:ascii="Times New Roman" w:hAnsi="Times New Roman" w:eastAsia="宋体" w:cstheme="minorEastAsia"/>
          <w:sz w:val="24"/>
        </w:rPr>
      </w:pPr>
      <w:r>
        <w:drawing>
          <wp:inline distT="0" distB="0" distL="114300" distR="114300">
            <wp:extent cx="4991100" cy="2905125"/>
            <wp:effectExtent l="0" t="0" r="0" b="952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8"/>
                    <a:stretch>
                      <a:fillRect/>
                    </a:stretch>
                  </pic:blipFill>
                  <pic:spPr>
                    <a:xfrm>
                      <a:off x="0" y="0"/>
                      <a:ext cx="4991100" cy="2905125"/>
                    </a:xfrm>
                    <a:prstGeom prst="rect">
                      <a:avLst/>
                    </a:prstGeom>
                    <a:noFill/>
                    <a:ln>
                      <a:noFill/>
                    </a:ln>
                  </pic:spPr>
                </pic:pic>
              </a:graphicData>
            </a:graphic>
          </wp:inline>
        </w:drawing>
      </w:r>
    </w:p>
    <w:p>
      <w:pPr>
        <w:spacing w:after="156" w:afterLines="50"/>
        <w:jc w:val="center"/>
        <w:rPr>
          <w:rFonts w:ascii="华文楷体" w:hAnsi="华文楷体" w:eastAsia="华文楷体"/>
          <w:kern w:val="0"/>
          <w:szCs w:val="21"/>
        </w:rPr>
      </w:pPr>
      <w:r>
        <w:rPr>
          <w:rFonts w:hint="eastAsia" w:ascii="华文楷体" w:hAnsi="华文楷体" w:eastAsia="华文楷体"/>
          <w:kern w:val="0"/>
          <w:szCs w:val="21"/>
        </w:rPr>
        <w:t>图</w:t>
      </w:r>
      <w:r>
        <w:rPr>
          <w:rFonts w:ascii="华文楷体" w:hAnsi="华文楷体" w:eastAsia="华文楷体"/>
          <w:kern w:val="0"/>
          <w:szCs w:val="21"/>
        </w:rPr>
        <w:t>4  201</w:t>
      </w:r>
      <w:r>
        <w:rPr>
          <w:rFonts w:hint="eastAsia" w:ascii="华文楷体" w:hAnsi="华文楷体" w:eastAsia="华文楷体"/>
          <w:kern w:val="0"/>
          <w:szCs w:val="21"/>
        </w:rPr>
        <w:t>8</w:t>
      </w:r>
      <w:r>
        <w:rPr>
          <w:rFonts w:ascii="华文楷体" w:hAnsi="华文楷体" w:eastAsia="华文楷体"/>
          <w:kern w:val="0"/>
          <w:szCs w:val="21"/>
        </w:rPr>
        <w:t>-202</w:t>
      </w:r>
      <w:r>
        <w:rPr>
          <w:rFonts w:hint="eastAsia" w:ascii="华文楷体" w:hAnsi="华文楷体" w:eastAsia="华文楷体"/>
          <w:kern w:val="0"/>
          <w:szCs w:val="21"/>
        </w:rPr>
        <w:t>2年施引文献中国发文量</w:t>
      </w:r>
      <w:r>
        <w:rPr>
          <w:rFonts w:ascii="华文楷体" w:hAnsi="华文楷体" w:eastAsia="华文楷体"/>
          <w:kern w:val="0"/>
          <w:szCs w:val="21"/>
        </w:rPr>
        <w:t>TOP10</w:t>
      </w:r>
      <w:r>
        <w:rPr>
          <w:rFonts w:hint="eastAsia" w:ascii="华文楷体" w:hAnsi="华文楷体" w:eastAsia="华文楷体"/>
          <w:kern w:val="0"/>
          <w:szCs w:val="21"/>
          <w:lang w:eastAsia="zh-Hans"/>
        </w:rPr>
        <w:t>的</w:t>
      </w:r>
      <w:r>
        <w:rPr>
          <w:rFonts w:hint="eastAsia" w:ascii="华文楷体" w:hAnsi="华文楷体" w:eastAsia="华文楷体"/>
          <w:kern w:val="0"/>
          <w:szCs w:val="21"/>
        </w:rPr>
        <w:t>机构</w:t>
      </w:r>
    </w:p>
    <w:p>
      <w:pPr>
        <w:spacing w:after="156" w:afterLines="50" w:line="276" w:lineRule="auto"/>
        <w:ind w:firstLine="480" w:firstLineChars="200"/>
        <w:rPr>
          <w:rFonts w:ascii="Times New Roman" w:hAnsi="Times New Roman" w:eastAsia="宋体" w:cstheme="minorEastAsia"/>
          <w:sz w:val="24"/>
        </w:rPr>
      </w:pPr>
      <w:r>
        <w:rPr>
          <w:rFonts w:hint="eastAsia" w:ascii="Times New Roman" w:hAnsi="Times New Roman" w:eastAsia="宋体" w:cstheme="minorEastAsia"/>
          <w:sz w:val="24"/>
        </w:rPr>
        <w:t>中国1227篇施引文献分布于362种期刊，发文量排名前10的期刊刊登相关论文320篇，占全部相关论文的26%。如图5所示。</w:t>
      </w:r>
    </w:p>
    <w:p>
      <w:pPr>
        <w:spacing w:after="156" w:afterLines="50" w:line="276" w:lineRule="auto"/>
        <w:jc w:val="center"/>
        <w:rPr>
          <w:rFonts w:ascii="Times New Roman" w:hAnsi="Times New Roman" w:eastAsia="宋体" w:cstheme="minorEastAsia"/>
          <w:sz w:val="24"/>
        </w:rPr>
      </w:pPr>
      <w:r>
        <w:drawing>
          <wp:inline distT="0" distB="0" distL="114300" distR="114300">
            <wp:extent cx="5271770" cy="2569845"/>
            <wp:effectExtent l="0" t="0" r="5080" b="190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9"/>
                    <a:stretch>
                      <a:fillRect/>
                    </a:stretch>
                  </pic:blipFill>
                  <pic:spPr>
                    <a:xfrm>
                      <a:off x="0" y="0"/>
                      <a:ext cx="5271770" cy="2569845"/>
                    </a:xfrm>
                    <a:prstGeom prst="rect">
                      <a:avLst/>
                    </a:prstGeom>
                    <a:noFill/>
                    <a:ln>
                      <a:noFill/>
                    </a:ln>
                  </pic:spPr>
                </pic:pic>
              </a:graphicData>
            </a:graphic>
          </wp:inline>
        </w:drawing>
      </w:r>
    </w:p>
    <w:p>
      <w:pPr>
        <w:spacing w:after="156" w:afterLines="50"/>
        <w:jc w:val="center"/>
        <w:rPr>
          <w:rFonts w:ascii="华文楷体" w:hAnsi="华文楷体" w:eastAsia="华文楷体"/>
          <w:kern w:val="0"/>
          <w:szCs w:val="21"/>
        </w:rPr>
      </w:pPr>
      <w:r>
        <w:rPr>
          <w:rFonts w:hint="eastAsia" w:ascii="华文楷体" w:hAnsi="华文楷体" w:eastAsia="华文楷体"/>
          <w:kern w:val="0"/>
          <w:szCs w:val="21"/>
        </w:rPr>
        <w:t>图</w:t>
      </w:r>
      <w:r>
        <w:rPr>
          <w:rFonts w:ascii="华文楷体" w:hAnsi="华文楷体" w:eastAsia="华文楷体"/>
          <w:kern w:val="0"/>
          <w:szCs w:val="21"/>
        </w:rPr>
        <w:t>5  201</w:t>
      </w:r>
      <w:r>
        <w:rPr>
          <w:rFonts w:hint="eastAsia" w:ascii="华文楷体" w:hAnsi="华文楷体" w:eastAsia="华文楷体"/>
          <w:kern w:val="0"/>
          <w:szCs w:val="21"/>
        </w:rPr>
        <w:t>8</w:t>
      </w:r>
      <w:r>
        <w:rPr>
          <w:rFonts w:ascii="华文楷体" w:hAnsi="华文楷体" w:eastAsia="华文楷体"/>
          <w:kern w:val="0"/>
          <w:szCs w:val="21"/>
        </w:rPr>
        <w:t>-202</w:t>
      </w:r>
      <w:r>
        <w:rPr>
          <w:rFonts w:hint="eastAsia" w:ascii="华文楷体" w:hAnsi="华文楷体" w:eastAsia="华文楷体"/>
          <w:kern w:val="0"/>
          <w:szCs w:val="21"/>
        </w:rPr>
        <w:t>2年中国施引文献期刊分布</w:t>
      </w:r>
      <w:r>
        <w:rPr>
          <w:rFonts w:ascii="华文楷体" w:hAnsi="华文楷体" w:eastAsia="华文楷体"/>
          <w:kern w:val="0"/>
          <w:szCs w:val="21"/>
        </w:rPr>
        <w:t>TOP</w:t>
      </w:r>
      <w:r>
        <w:rPr>
          <w:rFonts w:hint="eastAsia" w:ascii="华文楷体" w:hAnsi="华文楷体" w:eastAsia="华文楷体"/>
          <w:kern w:val="0"/>
          <w:szCs w:val="21"/>
        </w:rPr>
        <w:t>10</w:t>
      </w:r>
    </w:p>
    <w:p>
      <w:pPr>
        <w:ind w:firstLine="480" w:firstLineChars="200"/>
        <w:rPr>
          <w:rFonts w:ascii="Times New Roman" w:hAnsi="Times New Roman" w:eastAsia="宋体" w:cstheme="minorEastAsia"/>
          <w:sz w:val="24"/>
        </w:rPr>
      </w:pPr>
      <w:r>
        <w:rPr>
          <w:rFonts w:hint="eastAsia" w:ascii="Times New Roman" w:hAnsi="Times New Roman" w:eastAsia="宋体" w:cstheme="minorEastAsia"/>
          <w:sz w:val="24"/>
        </w:rPr>
        <w:t>将</w:t>
      </w:r>
      <w:r>
        <w:rPr>
          <w:rFonts w:ascii="Times New Roman" w:hAnsi="Times New Roman" w:eastAsia="宋体" w:cstheme="minorEastAsia"/>
          <w:sz w:val="24"/>
        </w:rPr>
        <w:t>201</w:t>
      </w:r>
      <w:r>
        <w:rPr>
          <w:rFonts w:hint="eastAsia" w:ascii="Times New Roman" w:hAnsi="Times New Roman" w:eastAsia="宋体" w:cstheme="minorEastAsia"/>
          <w:sz w:val="24"/>
        </w:rPr>
        <w:t>2年</w:t>
      </w:r>
      <w:r>
        <w:rPr>
          <w:rFonts w:hint="eastAsia" w:ascii="Times New Roman" w:hAnsi="Times New Roman" w:eastAsia="宋体" w:cstheme="minorEastAsia"/>
          <w:sz w:val="24"/>
          <w:lang w:eastAsia="zh-Hans"/>
        </w:rPr>
        <w:t>以来</w:t>
      </w:r>
      <w:r>
        <w:rPr>
          <w:rFonts w:hint="eastAsia" w:ascii="Times New Roman" w:hAnsi="Times New Roman" w:eastAsia="宋体" w:cstheme="minorEastAsia"/>
          <w:sz w:val="24"/>
        </w:rPr>
        <w:t>全球施引文献导入CiteSpace软件进行关键词聚类分析发现，其研究热点主要为货币政策、金融风险、公司治理详见图5。下面分析每个聚类的关键词信息，着重列出被引频次高的被引文献，</w:t>
      </w:r>
      <w:r>
        <w:rPr>
          <w:rFonts w:hint="eastAsia" w:ascii="Times New Roman" w:hAnsi="Times New Roman" w:eastAsia="宋体" w:cstheme="minorEastAsia"/>
          <w:sz w:val="24"/>
          <w:lang w:eastAsia="zh-Hans"/>
        </w:rPr>
        <w:t>并</w:t>
      </w:r>
      <w:r>
        <w:rPr>
          <w:rFonts w:hint="eastAsia" w:ascii="Times New Roman" w:hAnsi="Times New Roman" w:eastAsia="宋体" w:cstheme="minorEastAsia"/>
          <w:sz w:val="24"/>
        </w:rPr>
        <w:t>列出部分引用文献涵盖聚类节点多的文献。</w:t>
      </w:r>
    </w:p>
    <w:p>
      <w:pPr>
        <w:jc w:val="center"/>
        <w:rPr>
          <w:rFonts w:ascii="宋体" w:hAnsi="宋体" w:eastAsia="宋体" w:cs="宋体"/>
          <w:sz w:val="24"/>
        </w:rPr>
      </w:pPr>
    </w:p>
    <w:p>
      <w:pPr>
        <w:jc w:val="center"/>
        <w:rPr>
          <w:rFonts w:ascii="宋体" w:hAnsi="宋体" w:eastAsia="宋体" w:cs="宋体"/>
          <w:sz w:val="24"/>
        </w:rPr>
      </w:pPr>
      <w:r>
        <w:rPr>
          <w:rFonts w:ascii="宋体" w:hAnsi="宋体" w:eastAsia="宋体" w:cs="宋体"/>
          <w:sz w:val="24"/>
        </w:rPr>
        <w:drawing>
          <wp:inline distT="0" distB="0" distL="114300" distR="114300">
            <wp:extent cx="4799330" cy="2574290"/>
            <wp:effectExtent l="0" t="0" r="1270" b="16510"/>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r:embed="rId10"/>
                    <a:stretch>
                      <a:fillRect/>
                    </a:stretch>
                  </pic:blipFill>
                  <pic:spPr>
                    <a:xfrm>
                      <a:off x="0" y="0"/>
                      <a:ext cx="4799330" cy="2574290"/>
                    </a:xfrm>
                    <a:prstGeom prst="rect">
                      <a:avLst/>
                    </a:prstGeom>
                    <a:noFill/>
                    <a:ln w="9525">
                      <a:noFill/>
                    </a:ln>
                  </pic:spPr>
                </pic:pic>
              </a:graphicData>
            </a:graphic>
          </wp:inline>
        </w:drawing>
      </w:r>
    </w:p>
    <w:p>
      <w:pPr>
        <w:spacing w:after="156" w:afterLines="50"/>
        <w:jc w:val="center"/>
        <w:rPr>
          <w:rFonts w:ascii="华文楷体" w:hAnsi="华文楷体" w:eastAsia="华文楷体"/>
          <w:kern w:val="0"/>
          <w:szCs w:val="21"/>
        </w:rPr>
      </w:pPr>
      <w:r>
        <w:rPr>
          <w:rFonts w:hint="eastAsia" w:ascii="华文楷体" w:hAnsi="华文楷体" w:eastAsia="华文楷体"/>
          <w:kern w:val="0"/>
          <w:szCs w:val="21"/>
        </w:rPr>
        <w:t>图</w:t>
      </w:r>
      <w:r>
        <w:rPr>
          <w:rFonts w:ascii="华文楷体" w:hAnsi="华文楷体" w:eastAsia="华文楷体"/>
          <w:kern w:val="0"/>
          <w:szCs w:val="21"/>
        </w:rPr>
        <w:t>5  201</w:t>
      </w:r>
      <w:r>
        <w:rPr>
          <w:rFonts w:hint="eastAsia" w:ascii="华文楷体" w:hAnsi="华文楷体" w:eastAsia="华文楷体"/>
          <w:kern w:val="0"/>
          <w:szCs w:val="21"/>
        </w:rPr>
        <w:t>2年</w:t>
      </w:r>
      <w:r>
        <w:rPr>
          <w:rFonts w:hint="eastAsia" w:ascii="华文楷体" w:hAnsi="华文楷体" w:eastAsia="华文楷体"/>
          <w:kern w:val="0"/>
          <w:szCs w:val="21"/>
          <w:lang w:eastAsia="zh-Hans"/>
        </w:rPr>
        <w:t>以来</w:t>
      </w:r>
      <w:r>
        <w:rPr>
          <w:rFonts w:hint="eastAsia" w:ascii="华文楷体" w:hAnsi="华文楷体" w:eastAsia="华文楷体"/>
          <w:kern w:val="0"/>
          <w:szCs w:val="21"/>
        </w:rPr>
        <w:t>全球施引文献的研究主题分布</w:t>
      </w:r>
    </w:p>
    <w:p>
      <w:pPr>
        <w:spacing w:after="156" w:afterLines="50"/>
        <w:ind w:firstLine="480" w:firstLineChars="200"/>
        <w:jc w:val="left"/>
        <w:rPr>
          <w:rFonts w:ascii="宋体" w:hAnsi="宋体" w:eastAsia="宋体" w:cs="宋体"/>
          <w:sz w:val="24"/>
        </w:rPr>
      </w:pPr>
      <w:r>
        <w:rPr>
          <w:rFonts w:hint="eastAsia" w:ascii="Times New Roman" w:hAnsi="Times New Roman" w:eastAsia="宋体" w:cstheme="minorEastAsia"/>
          <w:sz w:val="24"/>
          <w:lang w:eastAsia="zh-Hans"/>
        </w:rPr>
        <w:t>图</w:t>
      </w:r>
      <w:r>
        <w:rPr>
          <w:rFonts w:ascii="Times New Roman" w:hAnsi="Times New Roman" w:eastAsia="宋体" w:cstheme="minorEastAsia"/>
          <w:sz w:val="24"/>
          <w:lang w:eastAsia="zh-Hans"/>
        </w:rPr>
        <w:t>5</w:t>
      </w:r>
      <w:r>
        <w:rPr>
          <w:rFonts w:hint="eastAsia" w:ascii="Times New Roman" w:hAnsi="Times New Roman" w:eastAsia="宋体" w:cstheme="minorEastAsia"/>
          <w:sz w:val="24"/>
          <w:lang w:eastAsia="zh-Hans"/>
        </w:rPr>
        <w:t>中</w:t>
      </w:r>
      <w:r>
        <w:rPr>
          <w:rFonts w:hint="eastAsia" w:ascii="Times New Roman" w:hAnsi="Times New Roman" w:eastAsia="宋体" w:cstheme="minorEastAsia"/>
          <w:sz w:val="24"/>
        </w:rPr>
        <w:t>0号聚类是最大的聚类，其核心关键词</w:t>
      </w:r>
      <w:r>
        <w:rPr>
          <w:rFonts w:hint="eastAsia" w:ascii="Times New Roman" w:hAnsi="Times New Roman" w:eastAsia="宋体" w:cstheme="minorEastAsia"/>
          <w:sz w:val="24"/>
          <w:lang w:eastAsia="zh-Hans"/>
        </w:rPr>
        <w:t>为</w:t>
      </w:r>
      <w:r>
        <w:rPr>
          <w:rFonts w:hint="eastAsia" w:ascii="Times New Roman" w:hAnsi="Times New Roman" w:eastAsia="宋体" w:cstheme="minorEastAsia"/>
          <w:sz w:val="24"/>
        </w:rPr>
        <w:t>货币政策（</w:t>
      </w:r>
      <w:r>
        <w:rPr>
          <w:rFonts w:hint="eastAsia" w:ascii="宋体" w:hAnsi="宋体" w:eastAsia="宋体" w:cs="宋体"/>
          <w:sz w:val="24"/>
        </w:rPr>
        <w:t>monetary policy</w:t>
      </w:r>
      <w:r>
        <w:rPr>
          <w:rFonts w:hint="eastAsia" w:ascii="Times New Roman" w:hAnsi="Times New Roman" w:eastAsia="宋体" w:cstheme="minorEastAsia"/>
          <w:sz w:val="24"/>
        </w:rPr>
        <w:t>），该类关键词还包括经济政策不确定性（</w:t>
      </w:r>
      <w:r>
        <w:rPr>
          <w:rFonts w:hint="eastAsia" w:ascii="宋体" w:hAnsi="宋体" w:eastAsia="宋体" w:cs="宋体"/>
          <w:sz w:val="24"/>
        </w:rPr>
        <w:t>Economicpolicyuncertainty</w:t>
      </w:r>
      <w:r>
        <w:rPr>
          <w:rFonts w:hint="eastAsia" w:ascii="Times New Roman" w:hAnsi="Times New Roman" w:eastAsia="宋体" w:cstheme="minorEastAsia"/>
          <w:sz w:val="24"/>
        </w:rPr>
        <w:t>）和经济增长（</w:t>
      </w:r>
      <w:r>
        <w:rPr>
          <w:rFonts w:hint="eastAsia" w:ascii="宋体" w:hAnsi="宋体" w:eastAsia="宋体" w:cs="宋体"/>
          <w:sz w:val="24"/>
        </w:rPr>
        <w:t>Economicgrowth</w:t>
      </w:r>
      <w:r>
        <w:rPr>
          <w:rFonts w:hint="eastAsia" w:ascii="Times New Roman" w:hAnsi="Times New Roman" w:eastAsia="宋体" w:cstheme="minorEastAsia"/>
          <w:sz w:val="24"/>
        </w:rPr>
        <w:t>）。0号聚类相关文献的高频词有</w:t>
      </w:r>
      <w:r>
        <w:rPr>
          <w:rFonts w:ascii="宋体" w:hAnsi="宋体" w:eastAsia="宋体" w:cs="宋体"/>
          <w:sz w:val="24"/>
        </w:rPr>
        <w:t>monetarypolicy</w:t>
      </w:r>
      <w:r>
        <w:rPr>
          <w:rFonts w:hint="eastAsia" w:ascii="宋体" w:hAnsi="宋体" w:eastAsia="宋体" w:cs="宋体"/>
          <w:sz w:val="24"/>
        </w:rPr>
        <w:t>、</w:t>
      </w:r>
      <w:r>
        <w:rPr>
          <w:rFonts w:ascii="宋体" w:hAnsi="宋体" w:eastAsia="宋体" w:cs="宋体"/>
          <w:sz w:val="24"/>
        </w:rPr>
        <w:t>model</w:t>
      </w:r>
      <w:r>
        <w:rPr>
          <w:rFonts w:hint="eastAsia" w:ascii="宋体" w:hAnsi="宋体" w:eastAsia="宋体" w:cs="宋体"/>
          <w:sz w:val="24"/>
        </w:rPr>
        <w:t>、</w:t>
      </w:r>
      <w:r>
        <w:rPr>
          <w:rFonts w:ascii="宋体" w:hAnsi="宋体" w:eastAsia="宋体" w:cs="宋体"/>
          <w:sz w:val="24"/>
        </w:rPr>
        <w:t>credit</w:t>
      </w:r>
      <w:r>
        <w:rPr>
          <w:rFonts w:hint="eastAsia" w:ascii="宋体" w:hAnsi="宋体" w:eastAsia="宋体" w:cs="宋体"/>
          <w:sz w:val="24"/>
        </w:rPr>
        <w:t>、</w:t>
      </w:r>
      <w:r>
        <w:rPr>
          <w:rFonts w:ascii="宋体" w:hAnsi="宋体" w:eastAsia="宋体" w:cs="宋体"/>
          <w:sz w:val="24"/>
        </w:rPr>
        <w:t>price</w:t>
      </w:r>
      <w:r>
        <w:rPr>
          <w:rFonts w:hint="eastAsia" w:ascii="宋体" w:hAnsi="宋体" w:eastAsia="宋体" w:cs="宋体"/>
          <w:sz w:val="24"/>
        </w:rPr>
        <w:t>、</w:t>
      </w:r>
      <w:r>
        <w:rPr>
          <w:rFonts w:ascii="宋体" w:hAnsi="宋体" w:eastAsia="宋体" w:cs="宋体"/>
          <w:sz w:val="24"/>
        </w:rPr>
        <w:t>businesscycle</w:t>
      </w:r>
      <w:r>
        <w:rPr>
          <w:rFonts w:hint="eastAsia" w:ascii="宋体" w:hAnsi="宋体" w:eastAsia="宋体" w:cs="宋体"/>
          <w:sz w:val="24"/>
        </w:rPr>
        <w:t>、</w:t>
      </w:r>
      <w:r>
        <w:rPr>
          <w:rFonts w:ascii="宋体" w:hAnsi="宋体" w:eastAsia="宋体" w:cs="宋体"/>
          <w:sz w:val="24"/>
        </w:rPr>
        <w:t>volatility</w:t>
      </w:r>
      <w:r>
        <w:rPr>
          <w:rFonts w:hint="eastAsia" w:ascii="宋体" w:hAnsi="宋体" w:eastAsia="宋体" w:cs="宋体"/>
          <w:sz w:val="24"/>
        </w:rPr>
        <w:t>、</w:t>
      </w:r>
      <w:r>
        <w:rPr>
          <w:rFonts w:ascii="宋体" w:hAnsi="宋体" w:eastAsia="宋体" w:cs="宋体"/>
          <w:sz w:val="24"/>
        </w:rPr>
        <w:t>transmission</w:t>
      </w:r>
      <w:r>
        <w:rPr>
          <w:rFonts w:hint="eastAsia" w:ascii="宋体" w:hAnsi="宋体" w:eastAsia="宋体" w:cs="宋体"/>
          <w:sz w:val="24"/>
        </w:rPr>
        <w:t>、</w:t>
      </w:r>
      <w:r>
        <w:rPr>
          <w:rFonts w:ascii="宋体" w:hAnsi="宋体" w:eastAsia="宋体" w:cs="宋体"/>
          <w:sz w:val="24"/>
        </w:rPr>
        <w:t>interestrate</w:t>
      </w:r>
      <w:r>
        <w:rPr>
          <w:rFonts w:hint="eastAsia" w:ascii="宋体" w:hAnsi="宋体" w:eastAsia="宋体" w:cs="宋体"/>
          <w:sz w:val="24"/>
        </w:rPr>
        <w:t>、</w:t>
      </w:r>
      <w:r>
        <w:rPr>
          <w:rFonts w:ascii="宋体" w:hAnsi="宋体" w:eastAsia="宋体" w:cs="宋体"/>
          <w:sz w:val="24"/>
        </w:rPr>
        <w:t>inflation</w:t>
      </w:r>
      <w:r>
        <w:rPr>
          <w:rFonts w:hint="eastAsia" w:ascii="宋体" w:hAnsi="宋体" w:eastAsia="宋体" w:cs="宋体"/>
          <w:sz w:val="24"/>
        </w:rPr>
        <w:t>；在图谱中起重要纽带作用的关键词有model、</w:t>
      </w:r>
      <w:r>
        <w:rPr>
          <w:rFonts w:ascii="宋体" w:hAnsi="宋体" w:eastAsia="宋体" w:cs="宋体"/>
          <w:sz w:val="24"/>
        </w:rPr>
        <w:t>monetarypolicy</w:t>
      </w:r>
      <w:r>
        <w:rPr>
          <w:rFonts w:hint="eastAsia" w:ascii="宋体" w:hAnsi="宋体" w:eastAsia="宋体" w:cs="宋体"/>
          <w:sz w:val="24"/>
        </w:rPr>
        <w:t>。本聚类2020年以来总被引频次较高的文献有14篇。</w:t>
      </w:r>
    </w:p>
    <w:p>
      <w:pPr>
        <w:spacing w:after="156" w:afterLines="50"/>
        <w:ind w:firstLine="480" w:firstLineChars="200"/>
        <w:jc w:val="left"/>
        <w:rPr>
          <w:rFonts w:ascii="宋体" w:hAnsi="宋体" w:eastAsia="宋体" w:cs="宋体"/>
          <w:sz w:val="24"/>
        </w:rPr>
      </w:pPr>
      <w:r>
        <w:rPr>
          <w:rFonts w:hint="eastAsia" w:ascii="Times New Roman" w:hAnsi="Times New Roman" w:eastAsia="宋体" w:cstheme="minorEastAsia"/>
          <w:sz w:val="24"/>
        </w:rPr>
        <w:t>1号聚类的核心关键词</w:t>
      </w:r>
      <w:r>
        <w:rPr>
          <w:rFonts w:hint="eastAsia" w:ascii="Times New Roman" w:hAnsi="Times New Roman" w:eastAsia="宋体" w:cstheme="minorEastAsia"/>
          <w:sz w:val="24"/>
          <w:lang w:eastAsia="zh-Hans"/>
        </w:rPr>
        <w:t>为</w:t>
      </w:r>
      <w:r>
        <w:rPr>
          <w:rFonts w:hint="eastAsia" w:ascii="Times New Roman" w:hAnsi="Times New Roman" w:eastAsia="宋体" w:cstheme="minorEastAsia"/>
          <w:sz w:val="24"/>
        </w:rPr>
        <w:t>金融危机（</w:t>
      </w:r>
      <w:r>
        <w:rPr>
          <w:rFonts w:hint="eastAsia" w:ascii="宋体" w:hAnsi="宋体" w:eastAsia="宋体" w:cs="宋体"/>
          <w:sz w:val="24"/>
        </w:rPr>
        <w:t>Financial crisis</w:t>
      </w:r>
      <w:r>
        <w:rPr>
          <w:rFonts w:hint="eastAsia" w:ascii="Times New Roman" w:hAnsi="Times New Roman" w:eastAsia="宋体" w:cstheme="minorEastAsia"/>
          <w:sz w:val="24"/>
        </w:rPr>
        <w:t>）。该类关键词还包括资产流动性（</w:t>
      </w:r>
      <w:r>
        <w:rPr>
          <w:rFonts w:hint="eastAsia" w:ascii="宋体" w:hAnsi="宋体" w:eastAsia="宋体" w:cs="宋体"/>
          <w:sz w:val="24"/>
        </w:rPr>
        <w:t>liquidity</w:t>
      </w:r>
      <w:r>
        <w:rPr>
          <w:rFonts w:hint="eastAsia" w:ascii="Times New Roman" w:hAnsi="Times New Roman" w:eastAsia="宋体" w:cstheme="minorEastAsia"/>
          <w:sz w:val="24"/>
        </w:rPr>
        <w:t>）和均衡（</w:t>
      </w:r>
      <w:r>
        <w:rPr>
          <w:rFonts w:hint="eastAsia" w:ascii="宋体" w:hAnsi="宋体" w:eastAsia="宋体" w:cs="宋体"/>
          <w:sz w:val="24"/>
        </w:rPr>
        <w:t>equilibrium</w:t>
      </w:r>
      <w:r>
        <w:rPr>
          <w:rFonts w:hint="eastAsia" w:ascii="Times New Roman" w:hAnsi="Times New Roman" w:eastAsia="宋体" w:cstheme="minorEastAsia"/>
          <w:sz w:val="24"/>
        </w:rPr>
        <w:t>）。1号聚类相关文献的高频词有</w:t>
      </w:r>
      <w:r>
        <w:rPr>
          <w:rFonts w:hint="eastAsia" w:ascii="宋体" w:hAnsi="宋体" w:eastAsia="宋体" w:cs="宋体"/>
          <w:sz w:val="24"/>
        </w:rPr>
        <w:t>market、risk、liquidity、Financial crisis、competition、constraint、deposit insurance、Financial Intermediation、efficiency；在图谱中突变值较高且起重要作用的关键词有equilibrium、systemic risk、stock return、bank、risk taking。本聚类高被引和热点论文60篇，2020年以来总被引频次较高的文献有10篇。</w:t>
      </w:r>
    </w:p>
    <w:p>
      <w:pPr>
        <w:spacing w:after="156" w:afterLines="50"/>
        <w:ind w:firstLine="480" w:firstLineChars="200"/>
        <w:jc w:val="left"/>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号聚类的核心关键词</w:t>
      </w:r>
      <w:r>
        <w:rPr>
          <w:rFonts w:hint="eastAsia" w:ascii="宋体" w:hAnsi="宋体" w:eastAsia="宋体" w:cs="宋体"/>
          <w:sz w:val="24"/>
        </w:rPr>
        <w:t>为公司治理</w:t>
      </w:r>
      <w:r>
        <w:rPr>
          <w:rFonts w:ascii="宋体" w:hAnsi="宋体" w:eastAsia="宋体" w:cs="宋体"/>
          <w:sz w:val="24"/>
        </w:rPr>
        <w:t>（corporate governance）。</w:t>
      </w:r>
      <w:r>
        <w:rPr>
          <w:rFonts w:hint="eastAsia" w:ascii="宋体" w:hAnsi="宋体" w:eastAsia="宋体" w:cs="宋体"/>
          <w:sz w:val="24"/>
        </w:rPr>
        <w:t>该</w:t>
      </w:r>
      <w:r>
        <w:rPr>
          <w:rFonts w:ascii="宋体" w:hAnsi="宋体" w:eastAsia="宋体" w:cs="宋体"/>
          <w:sz w:val="24"/>
        </w:rPr>
        <w:t>类关键词还包括资产</w:t>
      </w:r>
      <w:r>
        <w:rPr>
          <w:rFonts w:hint="eastAsia" w:ascii="宋体" w:hAnsi="宋体" w:eastAsia="宋体" w:cs="宋体"/>
          <w:sz w:val="24"/>
        </w:rPr>
        <w:t>结构</w:t>
      </w:r>
      <w:r>
        <w:rPr>
          <w:rFonts w:ascii="宋体" w:hAnsi="宋体" w:eastAsia="宋体" w:cs="宋体"/>
          <w:sz w:val="24"/>
        </w:rPr>
        <w:t>（capital structure）和</w:t>
      </w:r>
      <w:r>
        <w:rPr>
          <w:rFonts w:hint="eastAsia" w:ascii="宋体" w:hAnsi="宋体" w:eastAsia="宋体" w:cs="宋体"/>
          <w:sz w:val="24"/>
        </w:rPr>
        <w:t>债务</w:t>
      </w:r>
      <w:r>
        <w:rPr>
          <w:rFonts w:ascii="宋体" w:hAnsi="宋体" w:eastAsia="宋体" w:cs="宋体"/>
          <w:sz w:val="24"/>
        </w:rPr>
        <w:t>（debt）。</w:t>
      </w:r>
      <w:r>
        <w:rPr>
          <w:rFonts w:hint="eastAsia" w:ascii="宋体" w:hAnsi="宋体" w:eastAsia="宋体" w:cs="宋体"/>
          <w:sz w:val="24"/>
        </w:rPr>
        <w:t>2</w:t>
      </w:r>
      <w:r>
        <w:rPr>
          <w:rFonts w:ascii="宋体" w:hAnsi="宋体" w:eastAsia="宋体" w:cs="宋体"/>
          <w:sz w:val="24"/>
        </w:rPr>
        <w:t>号聚类相关文献的高频词有information、investment、determinant、cost、performance、firm、corporate governance、debt、capital structure；在图谱中突变值较高且起重要作用的关键词</w:t>
      </w:r>
      <w:r>
        <w:rPr>
          <w:rFonts w:hint="eastAsia" w:ascii="宋体" w:hAnsi="宋体" w:eastAsia="宋体" w:cs="宋体"/>
          <w:sz w:val="24"/>
        </w:rPr>
        <w:t>为governance</w:t>
      </w:r>
      <w:r>
        <w:rPr>
          <w:rFonts w:ascii="宋体" w:hAnsi="宋体" w:eastAsia="宋体" w:cs="宋体"/>
          <w:sz w:val="24"/>
        </w:rPr>
        <w:t>。本聚类高被引和热点论文</w:t>
      </w:r>
      <w:r>
        <w:rPr>
          <w:rFonts w:hint="eastAsia" w:ascii="宋体" w:hAnsi="宋体" w:eastAsia="宋体" w:cs="宋体"/>
          <w:sz w:val="24"/>
        </w:rPr>
        <w:t>59</w:t>
      </w:r>
      <w:r>
        <w:rPr>
          <w:rFonts w:ascii="宋体" w:hAnsi="宋体" w:eastAsia="宋体" w:cs="宋体"/>
          <w:sz w:val="24"/>
        </w:rPr>
        <w:t>篇，202</w:t>
      </w:r>
      <w:r>
        <w:rPr>
          <w:rFonts w:hint="eastAsia" w:ascii="宋体" w:hAnsi="宋体" w:eastAsia="宋体" w:cs="宋体"/>
          <w:sz w:val="24"/>
        </w:rPr>
        <w:t>0</w:t>
      </w:r>
      <w:r>
        <w:rPr>
          <w:rFonts w:ascii="宋体" w:hAnsi="宋体" w:eastAsia="宋体" w:cs="宋体"/>
          <w:sz w:val="24"/>
        </w:rPr>
        <w:t>年以来总被引频次较高的文献有</w:t>
      </w:r>
      <w:r>
        <w:rPr>
          <w:rFonts w:hint="eastAsia" w:ascii="宋体" w:hAnsi="宋体" w:eastAsia="宋体" w:cs="宋体"/>
          <w:sz w:val="24"/>
        </w:rPr>
        <w:t>11</w:t>
      </w:r>
      <w:r>
        <w:rPr>
          <w:rFonts w:ascii="宋体" w:hAnsi="宋体" w:eastAsia="宋体" w:cs="宋体"/>
          <w:sz w:val="24"/>
        </w:rPr>
        <w:t>篇。</w:t>
      </w:r>
    </w:p>
    <w:p>
      <w:pPr>
        <w:spacing w:after="156" w:afterLines="50" w:line="276" w:lineRule="auto"/>
        <w:jc w:val="left"/>
        <w:rPr>
          <w:rFonts w:ascii="Times New Roman" w:hAnsi="Times New Roman" w:eastAsia="宋体" w:cs="Times New Roman"/>
          <w:sz w:val="24"/>
        </w:rPr>
      </w:pPr>
      <w:r>
        <w:rPr>
          <w:rFonts w:hint="eastAsia" w:ascii="Times New Roman" w:hAnsi="Times New Roman" w:eastAsia="宋体" w:cs="Times New Roman"/>
          <w:b/>
          <w:bCs/>
          <w:sz w:val="24"/>
        </w:rPr>
        <w:t>3</w:t>
      </w:r>
      <w:r>
        <w:rPr>
          <w:rFonts w:ascii="Times New Roman" w:hAnsi="Times New Roman" w:eastAsia="宋体" w:cs="Times New Roman"/>
          <w:b/>
          <w:bCs/>
          <w:sz w:val="24"/>
        </w:rPr>
        <w:t xml:space="preserve">. </w:t>
      </w:r>
      <w:r>
        <w:rPr>
          <w:rFonts w:hint="eastAsia" w:ascii="Times New Roman" w:hAnsi="Times New Roman" w:eastAsia="宋体" w:cs="Times New Roman"/>
          <w:b/>
          <w:bCs/>
          <w:sz w:val="24"/>
        </w:rPr>
        <w:t>相关主题ESI高影响力论文</w:t>
      </w:r>
    </w:p>
    <w:p>
      <w:pPr>
        <w:spacing w:after="156" w:afterLines="50" w:line="276" w:lineRule="auto"/>
        <w:ind w:firstLine="480" w:firstLineChars="200"/>
        <w:jc w:val="left"/>
        <w:rPr>
          <w:rStyle w:val="13"/>
          <w:rFonts w:ascii="宋体" w:hAnsi="宋体" w:eastAsia="宋体" w:cs="宋体"/>
          <w:color w:val="auto"/>
          <w:sz w:val="24"/>
          <w:u w:val="none"/>
        </w:rPr>
      </w:pPr>
      <w:r>
        <w:rPr>
          <w:rFonts w:hint="eastAsia" w:ascii="Times New Roman" w:hAnsi="Times New Roman" w:eastAsia="宋体" w:cstheme="minorEastAsia"/>
          <w:sz w:val="24"/>
        </w:rPr>
        <w:t>2</w:t>
      </w:r>
      <w:r>
        <w:rPr>
          <w:rFonts w:ascii="Times New Roman" w:hAnsi="Times New Roman" w:eastAsia="宋体" w:cstheme="minorEastAsia"/>
          <w:sz w:val="24"/>
        </w:rPr>
        <w:t>01</w:t>
      </w:r>
      <w:r>
        <w:rPr>
          <w:rFonts w:hint="eastAsia" w:ascii="Times New Roman" w:hAnsi="Times New Roman" w:eastAsia="宋体" w:cstheme="minorEastAsia"/>
          <w:sz w:val="24"/>
        </w:rPr>
        <w:t>3</w:t>
      </w:r>
      <w:r>
        <w:rPr>
          <w:rFonts w:ascii="Times New Roman" w:hAnsi="Times New Roman" w:eastAsia="宋体" w:cstheme="minorEastAsia"/>
          <w:sz w:val="24"/>
        </w:rPr>
        <w:t>-202</w:t>
      </w:r>
      <w:r>
        <w:rPr>
          <w:rFonts w:hint="eastAsia" w:ascii="Times New Roman" w:hAnsi="Times New Roman" w:eastAsia="宋体" w:cstheme="minorEastAsia"/>
          <w:sz w:val="24"/>
        </w:rPr>
        <w:t>2年间诺贝尔奖获得者论文的施引文献中有123篇E</w:t>
      </w:r>
      <w:r>
        <w:rPr>
          <w:rFonts w:ascii="Times New Roman" w:hAnsi="Times New Roman" w:eastAsia="宋体" w:cstheme="minorEastAsia"/>
          <w:sz w:val="24"/>
        </w:rPr>
        <w:t>SI</w:t>
      </w:r>
      <w:r>
        <w:rPr>
          <w:rFonts w:hint="eastAsia" w:ascii="Times New Roman" w:hAnsi="Times New Roman" w:eastAsia="宋体" w:cstheme="minorEastAsia"/>
          <w:sz w:val="24"/>
        </w:rPr>
        <w:t>高被引论文/热点论文，其中中国作者发文20篇，第一完成单位为中国的占14篇。论文清单详见</w:t>
      </w:r>
      <w:r>
        <w:rPr>
          <w:rFonts w:ascii="宋体" w:hAnsi="宋体" w:eastAsia="宋体" w:cs="宋体"/>
          <w:sz w:val="24"/>
        </w:rPr>
        <w:fldChar w:fldCharType="begin"/>
      </w:r>
      <w:r>
        <w:rPr>
          <w:rFonts w:ascii="宋体" w:hAnsi="宋体" w:eastAsia="宋体" w:cs="宋体"/>
          <w:sz w:val="24"/>
        </w:rPr>
        <w:instrText xml:space="preserve"> HYPERLINK "https://libguides.lib.whu.edu.cn/c.php?g=665817&amp;p=6766521" </w:instrText>
      </w:r>
      <w:r>
        <w:rPr>
          <w:rFonts w:ascii="宋体" w:hAnsi="宋体" w:eastAsia="宋体" w:cs="宋体"/>
          <w:sz w:val="24"/>
        </w:rPr>
        <w:fldChar w:fldCharType="separate"/>
      </w:r>
      <w:r>
        <w:rPr>
          <w:rStyle w:val="13"/>
          <w:rFonts w:ascii="宋体" w:hAnsi="宋体" w:eastAsia="宋体" w:cs="宋体"/>
          <w:sz w:val="24"/>
        </w:rPr>
        <w:t>https://libguides.lib.whu.edu.cn/c.php?g=665817&amp;p=6766521</w:t>
      </w:r>
      <w:r>
        <w:rPr>
          <w:rFonts w:ascii="宋体" w:hAnsi="宋体" w:eastAsia="宋体" w:cs="宋体"/>
          <w:sz w:val="24"/>
        </w:rPr>
        <w:fldChar w:fldCharType="end"/>
      </w:r>
      <w:r>
        <w:rPr>
          <w:rStyle w:val="13"/>
          <w:rFonts w:hint="eastAsia" w:ascii="宋体" w:hAnsi="宋体" w:eastAsia="宋体" w:cs="宋体"/>
          <w:color w:val="auto"/>
          <w:sz w:val="24"/>
          <w:u w:val="none"/>
        </w:rPr>
        <w:t>。</w:t>
      </w:r>
    </w:p>
    <w:p>
      <w:pPr>
        <w:autoSpaceDE w:val="0"/>
        <w:autoSpaceDN w:val="0"/>
        <w:adjustRightInd w:val="0"/>
        <w:ind w:firstLine="480" w:firstLineChars="200"/>
        <w:jc w:val="left"/>
        <w:rPr>
          <w:rFonts w:ascii="Times New Roman" w:hAnsi="Times New Roman" w:eastAsia="华文楷体" w:cs="Times New Roman"/>
          <w:kern w:val="0"/>
          <w:szCs w:val="20"/>
        </w:rPr>
      </w:pPr>
      <w:r>
        <w:rPr>
          <w:rFonts w:ascii="Times New Roman" w:hAnsi="Times New Roman" w:eastAsia="宋体" w:cstheme="minorEastAsia"/>
          <w:sz w:val="24"/>
        </w:rPr>
        <w:t>20</w:t>
      </w:r>
      <w:r>
        <w:rPr>
          <w:rFonts w:hint="eastAsia" w:ascii="Times New Roman" w:hAnsi="Times New Roman" w:eastAsia="宋体" w:cstheme="minorEastAsia"/>
          <w:sz w:val="24"/>
        </w:rPr>
        <w:t>20</w:t>
      </w:r>
      <w:r>
        <w:rPr>
          <w:rFonts w:ascii="Times New Roman" w:hAnsi="Times New Roman" w:eastAsia="宋体" w:cstheme="minorEastAsia"/>
          <w:sz w:val="24"/>
        </w:rPr>
        <w:t>-202</w:t>
      </w:r>
      <w:r>
        <w:rPr>
          <w:rFonts w:hint="eastAsia" w:ascii="Times New Roman" w:hAnsi="Times New Roman" w:eastAsia="宋体" w:cstheme="minorEastAsia"/>
          <w:sz w:val="24"/>
        </w:rPr>
        <w:t>2年间的施引文献中高被引论文/热点论文有</w:t>
      </w:r>
      <w:r>
        <w:rPr>
          <w:rFonts w:ascii="Times New Roman" w:hAnsi="Times New Roman" w:eastAsia="宋体" w:cstheme="minorEastAsia"/>
          <w:sz w:val="24"/>
        </w:rPr>
        <w:t>2</w:t>
      </w:r>
      <w:r>
        <w:rPr>
          <w:rFonts w:hint="eastAsia" w:ascii="Times New Roman" w:hAnsi="Times New Roman" w:eastAsia="宋体" w:cstheme="minorEastAsia"/>
          <w:sz w:val="24"/>
        </w:rPr>
        <w:t>6篇，其中中国作者发文11篇，第一完成单位为中国的有8篇。在利用CiteSpace软件分析三个聚类中高被引论文18篇，其文献信息如下：</w:t>
      </w:r>
    </w:p>
    <w:p>
      <w:pPr>
        <w:spacing w:after="156" w:afterLines="5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Berger A N, Guedhami O, Kim H H, et al. </w:t>
      </w:r>
      <w:r>
        <w:rPr>
          <w:rFonts w:ascii="Times New Roman" w:hAnsi="Times New Roman" w:cs="Times New Roman"/>
          <w:color w:val="auto"/>
          <w:sz w:val="24"/>
          <w:u w:val="none"/>
        </w:rPr>
        <w:fldChar w:fldCharType="begin"/>
      </w:r>
      <w:r>
        <w:rPr>
          <w:rFonts w:ascii="Times New Roman" w:hAnsi="Times New Roman" w:cs="Times New Roman"/>
          <w:color w:val="auto"/>
          <w:sz w:val="24"/>
          <w:u w:val="none"/>
        </w:rPr>
        <w:instrText xml:space="preserve"> HYPERLINK "https://www.sciencedirect.com/science/article/pii/S1042957320300474?via%3Dihub" </w:instrText>
      </w:r>
      <w:r>
        <w:rPr>
          <w:rFonts w:ascii="Times New Roman" w:hAnsi="Times New Roman" w:cs="Times New Roman"/>
          <w:color w:val="auto"/>
          <w:sz w:val="24"/>
          <w:u w:val="none"/>
        </w:rPr>
        <w:fldChar w:fldCharType="separate"/>
      </w:r>
      <w:r>
        <w:rPr>
          <w:rStyle w:val="13"/>
          <w:rFonts w:ascii="Times New Roman" w:hAnsi="Times New Roman" w:cs="Times New Roman"/>
          <w:sz w:val="24"/>
          <w:u w:val="none"/>
        </w:rPr>
        <w:t>Economic Policy uncertainty and bank liquidity hoarding</w:t>
      </w:r>
      <w:r>
        <w:rPr>
          <w:rFonts w:ascii="Times New Roman" w:hAnsi="Times New Roman" w:cs="Times New Roman"/>
          <w:color w:val="auto"/>
          <w:sz w:val="24"/>
          <w:u w:val="none"/>
        </w:rPr>
        <w:fldChar w:fldCharType="end"/>
      </w:r>
      <w:r>
        <w:rPr>
          <w:rFonts w:ascii="Times New Roman" w:hAnsi="Times New Roman" w:cs="Times New Roman"/>
          <w:sz w:val="24"/>
        </w:rPr>
        <w:t>[J]. Journal of Financial Intermediation, 2022,</w:t>
      </w:r>
      <w:r>
        <w:rPr>
          <w:rFonts w:hint="eastAsia" w:ascii="Times New Roman" w:hAnsi="Times New Roman" w:cs="Times New Roman"/>
          <w:sz w:val="24"/>
        </w:rPr>
        <w:t xml:space="preserve"> </w:t>
      </w:r>
      <w:r>
        <w:rPr>
          <w:rFonts w:ascii="Times New Roman" w:hAnsi="Times New Roman" w:cs="Times New Roman"/>
          <w:sz w:val="24"/>
        </w:rPr>
        <w:t>49.</w:t>
      </w:r>
    </w:p>
    <w:p>
      <w:pPr>
        <w:spacing w:after="156" w:afterLines="5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Arif A, Vu H M, Cong M, et al. </w:t>
      </w:r>
      <w:r>
        <w:rPr>
          <w:rFonts w:ascii="Times New Roman" w:hAnsi="Times New Roman" w:cs="Times New Roman"/>
          <w:sz w:val="24"/>
        </w:rPr>
        <w:fldChar w:fldCharType="begin"/>
      </w:r>
      <w:r>
        <w:rPr>
          <w:rFonts w:ascii="Times New Roman" w:hAnsi="Times New Roman" w:cs="Times New Roman"/>
          <w:sz w:val="24"/>
        </w:rPr>
        <w:instrText xml:space="preserve"> HYPERLINK "https://www.sciencedirect.com/science/article/pii/S0301420722000101" </w:instrText>
      </w:r>
      <w:r>
        <w:rPr>
          <w:rFonts w:ascii="Times New Roman" w:hAnsi="Times New Roman" w:cs="Times New Roman"/>
          <w:sz w:val="24"/>
        </w:rPr>
        <w:fldChar w:fldCharType="separate"/>
      </w:r>
      <w:r>
        <w:rPr>
          <w:rStyle w:val="13"/>
          <w:rFonts w:ascii="Times New Roman" w:hAnsi="Times New Roman" w:cs="Times New Roman"/>
          <w:sz w:val="24"/>
          <w:u w:val="none"/>
        </w:rPr>
        <w:t>Natural resources commodity prices volatility and Economic performance: Evaluating the role of greenFinance</w:t>
      </w:r>
      <w:r>
        <w:rPr>
          <w:rFonts w:ascii="Times New Roman" w:hAnsi="Times New Roman" w:cs="Times New Roman"/>
          <w:sz w:val="24"/>
        </w:rPr>
        <w:fldChar w:fldCharType="end"/>
      </w:r>
      <w:r>
        <w:rPr>
          <w:rFonts w:ascii="Times New Roman" w:hAnsi="Times New Roman" w:cs="Times New Roman"/>
          <w:sz w:val="24"/>
        </w:rPr>
        <w:t>[J]. Resources Policy, 2022,</w:t>
      </w:r>
      <w:r>
        <w:rPr>
          <w:rFonts w:hint="eastAsia" w:ascii="Times New Roman" w:hAnsi="Times New Roman" w:cs="Times New Roman"/>
          <w:sz w:val="24"/>
        </w:rPr>
        <w:t xml:space="preserve"> </w:t>
      </w:r>
      <w:r>
        <w:rPr>
          <w:rFonts w:ascii="Times New Roman" w:hAnsi="Times New Roman" w:cs="Times New Roman"/>
          <w:sz w:val="24"/>
        </w:rPr>
        <w:t>76.</w:t>
      </w:r>
    </w:p>
    <w:p>
      <w:pPr>
        <w:spacing w:after="156" w:afterLines="5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Zhou G Y,</w:t>
      </w:r>
      <w:r>
        <w:rPr>
          <w:rFonts w:hint="eastAsia" w:ascii="Times New Roman" w:hAnsi="Times New Roman" w:cs="Times New Roman"/>
          <w:sz w:val="24"/>
          <w:lang w:val="en-US" w:eastAsia="zh-CN"/>
        </w:rPr>
        <w:t xml:space="preserve"> </w:t>
      </w:r>
      <w:r>
        <w:rPr>
          <w:rFonts w:ascii="Times New Roman" w:hAnsi="Times New Roman" w:cs="Times New Roman"/>
          <w:sz w:val="24"/>
        </w:rPr>
        <w:t>Zhu J Y</w:t>
      </w:r>
      <w:r>
        <w:rPr>
          <w:rFonts w:hint="eastAsia" w:ascii="Times New Roman" w:hAnsi="Times New Roman" w:cs="Times New Roman"/>
          <w:sz w:val="24"/>
          <w:lang w:val="en-US" w:eastAsia="zh-CN"/>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HYPERLINK "https://www.sciencedirect.com/science/article/pii/S0921800921003670" </w:instrText>
      </w:r>
      <w:r>
        <w:rPr>
          <w:rFonts w:ascii="Times New Roman" w:hAnsi="Times New Roman" w:cs="Times New Roman"/>
          <w:sz w:val="24"/>
        </w:rPr>
        <w:fldChar w:fldCharType="separate"/>
      </w:r>
      <w:r>
        <w:rPr>
          <w:rFonts w:ascii="Times New Roman" w:hAnsi="Times New Roman" w:cs="Times New Roman"/>
          <w:sz w:val="24"/>
          <w:u w:val="none"/>
        </w:rPr>
        <w:t>Luo S M.</w:t>
      </w:r>
      <w:r>
        <w:rPr>
          <w:rStyle w:val="13"/>
          <w:rFonts w:ascii="Times New Roman" w:hAnsi="Times New Roman" w:cs="Times New Roman"/>
          <w:sz w:val="24"/>
          <w:u w:val="none"/>
        </w:rPr>
        <w:t xml:space="preserve"> The impact of fintech innovation on green growth in China: Mediating effect of green Finance</w:t>
      </w:r>
      <w:r>
        <w:rPr>
          <w:rFonts w:ascii="Times New Roman" w:hAnsi="Times New Roman" w:cs="Times New Roman"/>
          <w:sz w:val="24"/>
        </w:rPr>
        <w:fldChar w:fldCharType="end"/>
      </w:r>
      <w:r>
        <w:rPr>
          <w:rFonts w:ascii="Times New Roman" w:hAnsi="Times New Roman" w:cs="Times New Roman"/>
          <w:sz w:val="24"/>
        </w:rPr>
        <w:t>[J]. Ecological Economics, 2022, 193.</w:t>
      </w:r>
    </w:p>
    <w:p>
      <w:pPr>
        <w:spacing w:after="156" w:afterLines="5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 xml:space="preserve">Wong J B, Zhang G Q. </w:t>
      </w:r>
      <w:r>
        <w:rPr>
          <w:rFonts w:ascii="Times New Roman" w:hAnsi="Times New Roman" w:cs="Times New Roman"/>
          <w:sz w:val="24"/>
        </w:rPr>
        <w:fldChar w:fldCharType="begin"/>
      </w:r>
      <w:r>
        <w:rPr>
          <w:rFonts w:ascii="Times New Roman" w:hAnsi="Times New Roman" w:cs="Times New Roman"/>
          <w:sz w:val="24"/>
        </w:rPr>
        <w:instrText xml:space="preserve"> HYPERLINK "https://www.sciencedirect.com/science/article/pii/S0890838921000718" </w:instrText>
      </w:r>
      <w:r>
        <w:rPr>
          <w:rFonts w:ascii="Times New Roman" w:hAnsi="Times New Roman" w:cs="Times New Roman"/>
          <w:sz w:val="24"/>
        </w:rPr>
        <w:fldChar w:fldCharType="separate"/>
      </w:r>
      <w:r>
        <w:rPr>
          <w:rStyle w:val="13"/>
          <w:rFonts w:ascii="Times New Roman" w:hAnsi="Times New Roman" w:cs="Times New Roman"/>
          <w:sz w:val="24"/>
          <w:u w:val="none"/>
        </w:rPr>
        <w:t>Stock market reactions to adverse esg disclosure via media channels</w:t>
      </w:r>
      <w:r>
        <w:rPr>
          <w:rFonts w:ascii="Times New Roman" w:hAnsi="Times New Roman" w:cs="Times New Roman"/>
          <w:sz w:val="24"/>
        </w:rPr>
        <w:fldChar w:fldCharType="end"/>
      </w:r>
      <w:r>
        <w:rPr>
          <w:rFonts w:ascii="Times New Roman" w:hAnsi="Times New Roman" w:cs="Times New Roman"/>
          <w:sz w:val="24"/>
        </w:rPr>
        <w:t>[J]. British Accounting Review,</w:t>
      </w:r>
      <w:r>
        <w:rPr>
          <w:rFonts w:hint="eastAsia" w:ascii="Times New Roman" w:hAnsi="Times New Roman" w:cs="Times New Roman"/>
          <w:sz w:val="24"/>
        </w:rPr>
        <w:t xml:space="preserve"> </w:t>
      </w:r>
      <w:r>
        <w:rPr>
          <w:rFonts w:ascii="Times New Roman" w:hAnsi="Times New Roman" w:cs="Times New Roman"/>
          <w:sz w:val="24"/>
        </w:rPr>
        <w:t>2022,</w:t>
      </w:r>
      <w:r>
        <w:rPr>
          <w:rFonts w:hint="eastAsia" w:ascii="Times New Roman" w:hAnsi="Times New Roman" w:cs="Times New Roman"/>
          <w:sz w:val="24"/>
        </w:rPr>
        <w:t xml:space="preserve"> </w:t>
      </w:r>
      <w:r>
        <w:rPr>
          <w:rFonts w:ascii="Times New Roman" w:hAnsi="Times New Roman" w:cs="Times New Roman"/>
          <w:sz w:val="24"/>
        </w:rPr>
        <w:t>54(1).</w:t>
      </w:r>
    </w:p>
    <w:p>
      <w:pPr>
        <w:spacing w:after="156" w:afterLines="5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Phan D,</w:t>
      </w:r>
      <w:r>
        <w:rPr>
          <w:rFonts w:hint="eastAsia" w:ascii="Times New Roman" w:hAnsi="Times New Roman" w:cs="Times New Roman"/>
          <w:sz w:val="24"/>
        </w:rPr>
        <w:t xml:space="preserve"> </w:t>
      </w:r>
      <w:r>
        <w:rPr>
          <w:rFonts w:ascii="Times New Roman" w:hAnsi="Times New Roman" w:cs="Times New Roman"/>
          <w:sz w:val="24"/>
        </w:rPr>
        <w:t xml:space="preserve">Iyke B N, Sharma S S, et al. </w:t>
      </w:r>
      <w:r>
        <w:rPr>
          <w:rFonts w:ascii="Times New Roman" w:hAnsi="Times New Roman" w:cs="Times New Roman"/>
          <w:sz w:val="24"/>
        </w:rPr>
        <w:fldChar w:fldCharType="begin"/>
      </w:r>
      <w:r>
        <w:rPr>
          <w:rFonts w:ascii="Times New Roman" w:hAnsi="Times New Roman" w:cs="Times New Roman"/>
          <w:sz w:val="24"/>
        </w:rPr>
        <w:instrText xml:space="preserve"> HYPERLINK "https://www.sciencedirect.com/science/article/pii/S0264999319315275" </w:instrText>
      </w:r>
      <w:r>
        <w:rPr>
          <w:rFonts w:ascii="Times New Roman" w:hAnsi="Times New Roman" w:cs="Times New Roman"/>
          <w:sz w:val="24"/>
        </w:rPr>
        <w:fldChar w:fldCharType="separate"/>
      </w:r>
      <w:r>
        <w:rPr>
          <w:rStyle w:val="13"/>
          <w:rFonts w:ascii="Times New Roman" w:hAnsi="Times New Roman" w:cs="Times New Roman"/>
          <w:sz w:val="24"/>
          <w:u w:val="none"/>
        </w:rPr>
        <w:t>Economic Policy uncertainty and Financial stability-Is there a relation?</w:t>
      </w:r>
      <w:r>
        <w:rPr>
          <w:rFonts w:ascii="Times New Roman" w:hAnsi="Times New Roman" w:cs="Times New Roman"/>
          <w:sz w:val="24"/>
        </w:rPr>
        <w:fldChar w:fldCharType="end"/>
      </w:r>
      <w:r>
        <w:rPr>
          <w:rFonts w:ascii="Times New Roman" w:hAnsi="Times New Roman" w:cs="Times New Roman"/>
          <w:sz w:val="24"/>
        </w:rPr>
        <w:t>[J]. Economic Modelling, 2021,</w:t>
      </w:r>
      <w:r>
        <w:rPr>
          <w:rFonts w:hint="eastAsia" w:ascii="Times New Roman" w:hAnsi="Times New Roman" w:cs="Times New Roman"/>
          <w:sz w:val="24"/>
        </w:rPr>
        <w:t xml:space="preserve"> </w:t>
      </w:r>
      <w:r>
        <w:rPr>
          <w:rFonts w:ascii="Times New Roman" w:hAnsi="Times New Roman" w:cs="Times New Roman"/>
          <w:sz w:val="24"/>
        </w:rPr>
        <w:t>94.</w:t>
      </w:r>
    </w:p>
    <w:p>
      <w:pPr>
        <w:spacing w:after="156" w:afterLines="5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 xml:space="preserve">Fahlenbrach R, Rageth K, Stulz R M. </w:t>
      </w:r>
      <w:r>
        <w:rPr>
          <w:rFonts w:ascii="Times New Roman" w:hAnsi="Times New Roman" w:cs="Times New Roman"/>
          <w:sz w:val="24"/>
        </w:rPr>
        <w:fldChar w:fldCharType="begin"/>
      </w:r>
      <w:r>
        <w:rPr>
          <w:rFonts w:ascii="Times New Roman" w:hAnsi="Times New Roman" w:cs="Times New Roman"/>
          <w:sz w:val="24"/>
        </w:rPr>
        <w:instrText xml:space="preserve"> HYPERLINK "https://whu-primo.hosted.exlibrisgroup.com.cn/permalink/f/2e54i8/TN_cdi_pubmedcentral_primary_oai_pubmedcentral_nih_gov_7798547" </w:instrText>
      </w:r>
      <w:r>
        <w:rPr>
          <w:rFonts w:ascii="Times New Roman" w:hAnsi="Times New Roman" w:cs="Times New Roman"/>
          <w:sz w:val="24"/>
        </w:rPr>
        <w:fldChar w:fldCharType="separate"/>
      </w:r>
      <w:r>
        <w:rPr>
          <w:rStyle w:val="13"/>
          <w:rFonts w:ascii="Times New Roman" w:hAnsi="Times New Roman" w:cs="Times New Roman"/>
          <w:sz w:val="24"/>
          <w:u w:val="none"/>
        </w:rPr>
        <w:t>How Valuable Is Financial Flexibility when Revenue Stops? Evidence from the COVID-19 Crisis</w:t>
      </w:r>
      <w:r>
        <w:rPr>
          <w:rFonts w:ascii="Times New Roman" w:hAnsi="Times New Roman" w:cs="Times New Roman"/>
          <w:sz w:val="24"/>
        </w:rPr>
        <w:fldChar w:fldCharType="end"/>
      </w:r>
      <w:r>
        <w:rPr>
          <w:rFonts w:ascii="Times New Roman" w:hAnsi="Times New Roman" w:cs="Times New Roman"/>
          <w:sz w:val="24"/>
        </w:rPr>
        <w:t>[J]. Review of Financial Studies, 2021,</w:t>
      </w:r>
      <w:r>
        <w:rPr>
          <w:rFonts w:hint="eastAsia" w:ascii="Times New Roman" w:hAnsi="Times New Roman" w:cs="Times New Roman"/>
          <w:sz w:val="24"/>
        </w:rPr>
        <w:t xml:space="preserve"> </w:t>
      </w:r>
      <w:r>
        <w:rPr>
          <w:rFonts w:ascii="Times New Roman" w:hAnsi="Times New Roman" w:cs="Times New Roman"/>
          <w:sz w:val="24"/>
        </w:rPr>
        <w:t>34(11).</w:t>
      </w:r>
    </w:p>
    <w:p>
      <w:pPr>
        <w:spacing w:after="156" w:afterLines="5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 xml:space="preserve">Zhang S L, Wu Z H, Wang Y, et al. </w:t>
      </w:r>
      <w:r>
        <w:rPr>
          <w:rFonts w:ascii="Times New Roman" w:hAnsi="Times New Roman" w:cs="Times New Roman"/>
          <w:sz w:val="24"/>
        </w:rPr>
        <w:fldChar w:fldCharType="begin"/>
      </w:r>
      <w:r>
        <w:rPr>
          <w:rFonts w:ascii="Times New Roman" w:hAnsi="Times New Roman" w:cs="Times New Roman"/>
          <w:sz w:val="24"/>
        </w:rPr>
        <w:instrText xml:space="preserve"> HYPERLINK "https://www.sciencedirect.com/science/article/pii/S0301479721012214" </w:instrText>
      </w:r>
      <w:r>
        <w:rPr>
          <w:rFonts w:ascii="Times New Roman" w:hAnsi="Times New Roman" w:cs="Times New Roman"/>
          <w:sz w:val="24"/>
        </w:rPr>
        <w:fldChar w:fldCharType="separate"/>
      </w:r>
      <w:r>
        <w:rPr>
          <w:rStyle w:val="13"/>
          <w:rFonts w:ascii="Times New Roman" w:hAnsi="Times New Roman" w:cs="Times New Roman"/>
          <w:sz w:val="24"/>
          <w:u w:val="none"/>
        </w:rPr>
        <w:t>Fostering green development with green Finance: An empirical study on the environmental effect of green credit Policy in China</w:t>
      </w:r>
      <w:r>
        <w:rPr>
          <w:rFonts w:ascii="Times New Roman" w:hAnsi="Times New Roman" w:cs="Times New Roman"/>
          <w:sz w:val="24"/>
        </w:rPr>
        <w:fldChar w:fldCharType="end"/>
      </w:r>
      <w:r>
        <w:rPr>
          <w:rFonts w:ascii="Times New Roman" w:hAnsi="Times New Roman" w:cs="Times New Roman"/>
          <w:sz w:val="24"/>
        </w:rPr>
        <w:t>[J]. Journal of Environmental Management, 2021,</w:t>
      </w:r>
      <w:r>
        <w:rPr>
          <w:rFonts w:hint="eastAsia" w:ascii="Times New Roman" w:hAnsi="Times New Roman" w:cs="Times New Roman"/>
          <w:sz w:val="24"/>
        </w:rPr>
        <w:t xml:space="preserve"> </w:t>
      </w:r>
      <w:r>
        <w:rPr>
          <w:rFonts w:ascii="Times New Roman" w:hAnsi="Times New Roman" w:cs="Times New Roman"/>
          <w:sz w:val="24"/>
        </w:rPr>
        <w:t>296.</w:t>
      </w:r>
    </w:p>
    <w:p>
      <w:pPr>
        <w:spacing w:after="156" w:afterLines="5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Pr>
          <w:rFonts w:ascii="Times New Roman" w:hAnsi="Times New Roman" w:cs="Times New Roman"/>
          <w:sz w:val="24"/>
        </w:rPr>
        <w:t>Lv</w:t>
      </w:r>
      <w:r>
        <w:rPr>
          <w:rFonts w:hint="eastAsia" w:ascii="Times New Roman" w:hAnsi="Times New Roman" w:cs="Times New Roman"/>
          <w:sz w:val="24"/>
          <w:lang w:val="en-US" w:eastAsia="zh-CN"/>
        </w:rPr>
        <w:t xml:space="preserve"> </w:t>
      </w:r>
      <w:r>
        <w:rPr>
          <w:rFonts w:ascii="Times New Roman" w:hAnsi="Times New Roman" w:cs="Times New Roman"/>
          <w:sz w:val="24"/>
        </w:rPr>
        <w:t>C</w:t>
      </w:r>
      <w:r>
        <w:rPr>
          <w:rFonts w:hint="eastAsia" w:ascii="Times New Roman" w:hAnsi="Times New Roman" w:cs="Times New Roman"/>
          <w:sz w:val="24"/>
          <w:lang w:val="en-US" w:eastAsia="zh-CN"/>
        </w:rPr>
        <w:t xml:space="preserve"> </w:t>
      </w:r>
      <w:r>
        <w:rPr>
          <w:rFonts w:ascii="Times New Roman" w:hAnsi="Times New Roman" w:cs="Times New Roman"/>
          <w:sz w:val="24"/>
        </w:rPr>
        <w:t>C, Shao C H,</w:t>
      </w:r>
      <w:r>
        <w:rPr>
          <w:rFonts w:hint="eastAsia" w:ascii="Times New Roman" w:hAnsi="Times New Roman" w:cs="Times New Roman"/>
          <w:sz w:val="24"/>
          <w:lang w:val="en-US" w:eastAsia="zh-CN"/>
        </w:rPr>
        <w:t xml:space="preserve"> </w:t>
      </w:r>
      <w:r>
        <w:rPr>
          <w:rFonts w:ascii="Times New Roman" w:hAnsi="Times New Roman" w:cs="Times New Roman"/>
          <w:sz w:val="24"/>
        </w:rPr>
        <w:t xml:space="preserve">Lee C C. </w:t>
      </w:r>
      <w:r>
        <w:rPr>
          <w:rFonts w:ascii="Times New Roman" w:hAnsi="Times New Roman" w:cs="Times New Roman"/>
          <w:sz w:val="24"/>
        </w:rPr>
        <w:fldChar w:fldCharType="begin"/>
      </w:r>
      <w:r>
        <w:rPr>
          <w:rFonts w:ascii="Times New Roman" w:hAnsi="Times New Roman" w:cs="Times New Roman"/>
          <w:sz w:val="24"/>
        </w:rPr>
        <w:instrText xml:space="preserve"> HYPERLINK "https://www.sciencedirect.com/science/article/pii/S0140988321001420" </w:instrText>
      </w:r>
      <w:r>
        <w:rPr>
          <w:rFonts w:ascii="Times New Roman" w:hAnsi="Times New Roman" w:cs="Times New Roman"/>
          <w:sz w:val="24"/>
        </w:rPr>
        <w:fldChar w:fldCharType="separate"/>
      </w:r>
      <w:r>
        <w:rPr>
          <w:rStyle w:val="13"/>
          <w:rFonts w:ascii="Times New Roman" w:hAnsi="Times New Roman" w:cs="Times New Roman"/>
          <w:sz w:val="24"/>
          <w:u w:val="none"/>
        </w:rPr>
        <w:t>Green technology innovation and Financial development: Do environmental regulation and innovation output matter?</w:t>
      </w:r>
      <w:r>
        <w:rPr>
          <w:rFonts w:ascii="Times New Roman" w:hAnsi="Times New Roman" w:cs="Times New Roman"/>
          <w:sz w:val="24"/>
        </w:rPr>
        <w:fldChar w:fldCharType="end"/>
      </w:r>
      <w:r>
        <w:rPr>
          <w:rFonts w:ascii="Times New Roman" w:hAnsi="Times New Roman" w:cs="Times New Roman"/>
          <w:sz w:val="24"/>
        </w:rPr>
        <w:t>[J]. Energy Economics, 2021,</w:t>
      </w:r>
      <w:r>
        <w:rPr>
          <w:rFonts w:hint="eastAsia" w:ascii="Times New Roman" w:hAnsi="Times New Roman" w:cs="Times New Roman"/>
          <w:sz w:val="24"/>
        </w:rPr>
        <w:t xml:space="preserve"> </w:t>
      </w:r>
      <w:r>
        <w:rPr>
          <w:rFonts w:ascii="Times New Roman" w:hAnsi="Times New Roman" w:cs="Times New Roman"/>
          <w:sz w:val="24"/>
        </w:rPr>
        <w:t>98.</w:t>
      </w:r>
    </w:p>
    <w:p>
      <w:pPr>
        <w:spacing w:after="156" w:afterLines="50"/>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r>
        <w:rPr>
          <w:rFonts w:ascii="Times New Roman" w:hAnsi="Times New Roman" w:cs="Times New Roman"/>
          <w:sz w:val="24"/>
        </w:rPr>
        <w:t xml:space="preserve">Ma Q, Zhang M, Ali S, et al. </w:t>
      </w:r>
      <w:r>
        <w:rPr>
          <w:rFonts w:ascii="Times New Roman" w:hAnsi="Times New Roman" w:cs="Times New Roman"/>
          <w:sz w:val="24"/>
        </w:rPr>
        <w:fldChar w:fldCharType="begin"/>
      </w:r>
      <w:r>
        <w:rPr>
          <w:rFonts w:ascii="Times New Roman" w:hAnsi="Times New Roman" w:cs="Times New Roman"/>
          <w:sz w:val="24"/>
        </w:rPr>
        <w:instrText xml:space="preserve"> HYPERLINK "https://www.sciencedirect.com/science/article/pii/S0301420721003470" </w:instrText>
      </w:r>
      <w:r>
        <w:rPr>
          <w:rFonts w:ascii="Times New Roman" w:hAnsi="Times New Roman" w:cs="Times New Roman"/>
          <w:sz w:val="24"/>
        </w:rPr>
        <w:fldChar w:fldCharType="separate"/>
      </w:r>
      <w:r>
        <w:rPr>
          <w:rStyle w:val="12"/>
          <w:rFonts w:ascii="Times New Roman" w:hAnsi="Times New Roman" w:cs="Times New Roman"/>
          <w:sz w:val="24"/>
          <w:u w:val="none"/>
        </w:rPr>
        <w:t>Natural resources commodity prices volatility and Economic performance: Evidence from China pre and post COVID-19</w:t>
      </w:r>
      <w:r>
        <w:rPr>
          <w:rFonts w:ascii="Times New Roman" w:hAnsi="Times New Roman" w:cs="Times New Roman"/>
          <w:sz w:val="24"/>
        </w:rPr>
        <w:fldChar w:fldCharType="end"/>
      </w:r>
      <w:r>
        <w:rPr>
          <w:rFonts w:ascii="Times New Roman" w:hAnsi="Times New Roman" w:cs="Times New Roman"/>
          <w:sz w:val="24"/>
        </w:rPr>
        <w:t>[J]. Resources Policy, 2021,</w:t>
      </w:r>
      <w:r>
        <w:rPr>
          <w:rFonts w:hint="eastAsia" w:ascii="Times New Roman" w:hAnsi="Times New Roman" w:cs="Times New Roman"/>
          <w:sz w:val="24"/>
        </w:rPr>
        <w:t xml:space="preserve"> </w:t>
      </w:r>
      <w:r>
        <w:rPr>
          <w:rFonts w:ascii="Times New Roman" w:hAnsi="Times New Roman" w:cs="Times New Roman"/>
          <w:sz w:val="24"/>
        </w:rPr>
        <w:t>74.</w:t>
      </w:r>
    </w:p>
    <w:p>
      <w:pPr>
        <w:spacing w:after="156" w:afterLines="5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Pr>
          <w:rFonts w:ascii="Times New Roman" w:hAnsi="Times New Roman" w:cs="Times New Roman"/>
          <w:sz w:val="24"/>
        </w:rPr>
        <w:t xml:space="preserve">Yu J, Shi X P, Guo D M, et al. </w:t>
      </w:r>
      <w:r>
        <w:rPr>
          <w:rFonts w:ascii="Times New Roman" w:hAnsi="Times New Roman" w:cs="Times New Roman"/>
          <w:color w:val="auto"/>
          <w:sz w:val="24"/>
          <w:u w:val="none"/>
        </w:rPr>
        <w:fldChar w:fldCharType="begin"/>
      </w:r>
      <w:r>
        <w:rPr>
          <w:rFonts w:ascii="Times New Roman" w:hAnsi="Times New Roman" w:cs="Times New Roman"/>
          <w:color w:val="auto"/>
          <w:sz w:val="24"/>
          <w:u w:val="none"/>
        </w:rPr>
        <w:instrText xml:space="preserve"> HYPERLINK "https://www.sciencedirect.com/science/article/pii/S0140988320304114" </w:instrText>
      </w:r>
      <w:r>
        <w:rPr>
          <w:rFonts w:ascii="Times New Roman" w:hAnsi="Times New Roman" w:cs="Times New Roman"/>
          <w:color w:val="auto"/>
          <w:sz w:val="24"/>
          <w:u w:val="none"/>
        </w:rPr>
        <w:fldChar w:fldCharType="separate"/>
      </w:r>
      <w:r>
        <w:rPr>
          <w:rStyle w:val="12"/>
          <w:rFonts w:ascii="Times New Roman" w:hAnsi="Times New Roman" w:cs="Times New Roman"/>
          <w:sz w:val="24"/>
          <w:u w:val="none"/>
        </w:rPr>
        <w:t>Economic Policy uncertainty (EPU) and firm carbon emissions:</w:t>
      </w:r>
      <w:r>
        <w:rPr>
          <w:rStyle w:val="12"/>
          <w:rFonts w:hint="eastAsia" w:ascii="Times New Roman" w:hAnsi="Times New Roman" w:cs="Times New Roman"/>
          <w:sz w:val="24"/>
          <w:u w:val="none"/>
        </w:rPr>
        <w:t xml:space="preserve"> </w:t>
      </w:r>
      <w:r>
        <w:rPr>
          <w:rStyle w:val="12"/>
          <w:rFonts w:ascii="Times New Roman" w:hAnsi="Times New Roman" w:cs="Times New Roman"/>
          <w:sz w:val="24"/>
          <w:u w:val="none"/>
        </w:rPr>
        <w:t>Evidence using a China provincial EPU index</w:t>
      </w:r>
      <w:r>
        <w:rPr>
          <w:rFonts w:ascii="Times New Roman" w:hAnsi="Times New Roman" w:cs="Times New Roman"/>
          <w:color w:val="auto"/>
          <w:sz w:val="24"/>
          <w:u w:val="none"/>
        </w:rPr>
        <w:fldChar w:fldCharType="end"/>
      </w:r>
      <w:r>
        <w:rPr>
          <w:rFonts w:ascii="Times New Roman" w:hAnsi="Times New Roman" w:cs="Times New Roman"/>
          <w:sz w:val="24"/>
        </w:rPr>
        <w:t>[J]. Energy Economics, 2021,</w:t>
      </w:r>
      <w:r>
        <w:rPr>
          <w:rFonts w:hint="eastAsia" w:ascii="Times New Roman" w:hAnsi="Times New Roman" w:cs="Times New Roman"/>
          <w:sz w:val="24"/>
        </w:rPr>
        <w:t xml:space="preserve"> </w:t>
      </w:r>
      <w:r>
        <w:rPr>
          <w:rFonts w:ascii="Times New Roman" w:hAnsi="Times New Roman" w:cs="Times New Roman"/>
          <w:sz w:val="24"/>
        </w:rPr>
        <w:t>94.</w:t>
      </w:r>
    </w:p>
    <w:p>
      <w:pPr>
        <w:spacing w:after="156" w:afterLines="5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Pr>
          <w:rFonts w:ascii="Times New Roman" w:hAnsi="Times New Roman" w:cs="Times New Roman"/>
          <w:sz w:val="24"/>
        </w:rPr>
        <w:t xml:space="preserve">Chod J, Trichakis N, Tsoukalas G, et al. </w:t>
      </w:r>
      <w:r>
        <w:rPr>
          <w:rFonts w:ascii="Times New Roman" w:hAnsi="Times New Roman" w:cs="Times New Roman"/>
          <w:sz w:val="24"/>
        </w:rPr>
        <w:fldChar w:fldCharType="begin"/>
      </w:r>
      <w:r>
        <w:rPr>
          <w:rFonts w:ascii="Times New Roman" w:hAnsi="Times New Roman" w:cs="Times New Roman"/>
          <w:sz w:val="24"/>
        </w:rPr>
        <w:instrText xml:space="preserve"> HYPERLINK "https://pubsonline.informs.org/doi/10.1287/mnsc.2019.3434" </w:instrText>
      </w:r>
      <w:r>
        <w:rPr>
          <w:rFonts w:ascii="Times New Roman" w:hAnsi="Times New Roman" w:cs="Times New Roman"/>
          <w:sz w:val="24"/>
        </w:rPr>
        <w:fldChar w:fldCharType="separate"/>
      </w:r>
      <w:r>
        <w:rPr>
          <w:rStyle w:val="13"/>
          <w:rFonts w:ascii="Times New Roman" w:hAnsi="Times New Roman" w:cs="Times New Roman"/>
          <w:sz w:val="24"/>
          <w:u w:val="none"/>
        </w:rPr>
        <w:t>On the Financing Benefits of Supply Chain Transparency and Blockchain Adoption</w:t>
      </w:r>
      <w:r>
        <w:rPr>
          <w:rFonts w:ascii="Times New Roman" w:hAnsi="Times New Roman" w:cs="Times New Roman"/>
          <w:sz w:val="24"/>
        </w:rPr>
        <w:fldChar w:fldCharType="end"/>
      </w:r>
      <w:r>
        <w:rPr>
          <w:rFonts w:ascii="Times New Roman" w:hAnsi="Times New Roman" w:cs="Times New Roman"/>
          <w:sz w:val="24"/>
        </w:rPr>
        <w:t>[J]. Management Science, 2020,</w:t>
      </w:r>
      <w:r>
        <w:rPr>
          <w:rFonts w:hint="eastAsia" w:ascii="Times New Roman" w:hAnsi="Times New Roman" w:cs="Times New Roman"/>
          <w:sz w:val="24"/>
        </w:rPr>
        <w:t xml:space="preserve"> </w:t>
      </w:r>
      <w:r>
        <w:rPr>
          <w:rFonts w:ascii="Times New Roman" w:hAnsi="Times New Roman" w:cs="Times New Roman"/>
          <w:sz w:val="24"/>
        </w:rPr>
        <w:t>66(10).</w:t>
      </w:r>
    </w:p>
    <w:p>
      <w:pPr>
        <w:spacing w:after="156" w:afterLines="50"/>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r>
      <w:r>
        <w:rPr>
          <w:rFonts w:ascii="Times New Roman" w:hAnsi="Times New Roman" w:cs="Times New Roman"/>
          <w:sz w:val="24"/>
        </w:rPr>
        <w:t xml:space="preserve">Xu Z X. </w:t>
      </w:r>
      <w:r>
        <w:rPr>
          <w:rFonts w:ascii="Times New Roman" w:hAnsi="Times New Roman" w:cs="Times New Roman"/>
          <w:sz w:val="24"/>
        </w:rPr>
        <w:fldChar w:fldCharType="begin"/>
      </w:r>
      <w:r>
        <w:rPr>
          <w:rFonts w:ascii="Times New Roman" w:hAnsi="Times New Roman" w:cs="Times New Roman"/>
          <w:sz w:val="24"/>
        </w:rPr>
        <w:instrText xml:space="preserve"> HYPERLINK "https://www.sciencedirect.com/science/article/pii/S0378426619302729" </w:instrText>
      </w:r>
      <w:r>
        <w:rPr>
          <w:rFonts w:ascii="Times New Roman" w:hAnsi="Times New Roman" w:cs="Times New Roman"/>
          <w:sz w:val="24"/>
        </w:rPr>
        <w:fldChar w:fldCharType="separate"/>
      </w:r>
      <w:r>
        <w:rPr>
          <w:rStyle w:val="13"/>
          <w:rFonts w:ascii="Times New Roman" w:hAnsi="Times New Roman" w:cs="Times New Roman"/>
          <w:sz w:val="24"/>
          <w:u w:val="none"/>
        </w:rPr>
        <w:t>Economic Policy uncertainty, cost of capital, and corporate innovation</w:t>
      </w:r>
      <w:r>
        <w:rPr>
          <w:rFonts w:ascii="Times New Roman" w:hAnsi="Times New Roman" w:cs="Times New Roman"/>
          <w:sz w:val="24"/>
        </w:rPr>
        <w:fldChar w:fldCharType="end"/>
      </w:r>
      <w:r>
        <w:rPr>
          <w:rFonts w:ascii="Times New Roman" w:hAnsi="Times New Roman" w:cs="Times New Roman"/>
          <w:sz w:val="24"/>
        </w:rPr>
        <w:t>[J]. Journal of banking &amp; Finance, 2020,</w:t>
      </w:r>
      <w:r>
        <w:rPr>
          <w:rFonts w:hint="eastAsia" w:ascii="Times New Roman" w:hAnsi="Times New Roman" w:cs="Times New Roman"/>
          <w:sz w:val="24"/>
        </w:rPr>
        <w:t xml:space="preserve"> </w:t>
      </w:r>
      <w:r>
        <w:rPr>
          <w:rFonts w:ascii="Times New Roman" w:hAnsi="Times New Roman" w:cs="Times New Roman"/>
          <w:sz w:val="24"/>
        </w:rPr>
        <w:t>111.</w:t>
      </w:r>
    </w:p>
    <w:p>
      <w:pPr>
        <w:spacing w:after="156" w:afterLines="50"/>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r>
      <w:r>
        <w:rPr>
          <w:rFonts w:ascii="Times New Roman" w:hAnsi="Times New Roman" w:cs="Times New Roman"/>
          <w:sz w:val="24"/>
        </w:rPr>
        <w:t xml:space="preserve">Thakor A V. </w:t>
      </w:r>
      <w:r>
        <w:rPr>
          <w:rFonts w:ascii="Times New Roman" w:hAnsi="Times New Roman" w:cs="Times New Roman"/>
          <w:sz w:val="24"/>
        </w:rPr>
        <w:fldChar w:fldCharType="begin"/>
      </w:r>
      <w:r>
        <w:rPr>
          <w:rFonts w:ascii="Times New Roman" w:hAnsi="Times New Roman" w:cs="Times New Roman"/>
          <w:sz w:val="24"/>
        </w:rPr>
        <w:instrText xml:space="preserve"> HYPERLINK "https://www.sciencedirect.com/science/article/pii/S104295731930049X" </w:instrText>
      </w:r>
      <w:r>
        <w:rPr>
          <w:rFonts w:ascii="Times New Roman" w:hAnsi="Times New Roman" w:cs="Times New Roman"/>
          <w:sz w:val="24"/>
        </w:rPr>
        <w:fldChar w:fldCharType="separate"/>
      </w:r>
      <w:r>
        <w:rPr>
          <w:rStyle w:val="13"/>
          <w:rFonts w:ascii="Times New Roman" w:hAnsi="Times New Roman" w:cs="Times New Roman"/>
          <w:sz w:val="24"/>
          <w:u w:val="none"/>
        </w:rPr>
        <w:t>Fintech and banking: What do we know?</w:t>
      </w:r>
      <w:r>
        <w:rPr>
          <w:rFonts w:ascii="Times New Roman" w:hAnsi="Times New Roman" w:cs="Times New Roman"/>
          <w:sz w:val="24"/>
        </w:rPr>
        <w:fldChar w:fldCharType="end"/>
      </w:r>
      <w:r>
        <w:rPr>
          <w:rFonts w:ascii="Times New Roman" w:hAnsi="Times New Roman" w:cs="Times New Roman"/>
          <w:sz w:val="24"/>
        </w:rPr>
        <w:t xml:space="preserve">[J]. Journal of </w:t>
      </w:r>
      <w:bookmarkStart w:id="1" w:name="_GoBack"/>
      <w:bookmarkEnd w:id="1"/>
      <w:r>
        <w:rPr>
          <w:rFonts w:ascii="Times New Roman" w:hAnsi="Times New Roman" w:cs="Times New Roman"/>
          <w:sz w:val="24"/>
        </w:rPr>
        <w:t xml:space="preserve"> Financial Intermediation, 2020,</w:t>
      </w:r>
      <w:r>
        <w:rPr>
          <w:rFonts w:hint="eastAsia" w:ascii="Times New Roman" w:hAnsi="Times New Roman" w:cs="Times New Roman"/>
          <w:sz w:val="24"/>
        </w:rPr>
        <w:t xml:space="preserve"> </w:t>
      </w:r>
      <w:r>
        <w:rPr>
          <w:rFonts w:ascii="Times New Roman" w:hAnsi="Times New Roman" w:cs="Times New Roman"/>
          <w:sz w:val="24"/>
        </w:rPr>
        <w:t>41.[14]</w:t>
      </w:r>
      <w:r>
        <w:rPr>
          <w:rFonts w:ascii="Times New Roman" w:hAnsi="Times New Roman" w:cs="Times New Roman"/>
          <w:sz w:val="24"/>
        </w:rPr>
        <w:tab/>
      </w:r>
      <w:r>
        <w:rPr>
          <w:rFonts w:ascii="Times New Roman" w:hAnsi="Times New Roman" w:cs="Times New Roman"/>
          <w:sz w:val="24"/>
        </w:rPr>
        <w:t xml:space="preserve">Chen Z, He Z G, Liu C. </w:t>
      </w:r>
      <w:r>
        <w:rPr>
          <w:rFonts w:ascii="Times New Roman" w:hAnsi="Times New Roman" w:cs="Times New Roman"/>
          <w:sz w:val="24"/>
        </w:rPr>
        <w:fldChar w:fldCharType="begin"/>
      </w:r>
      <w:r>
        <w:rPr>
          <w:rFonts w:ascii="Times New Roman" w:hAnsi="Times New Roman" w:cs="Times New Roman"/>
          <w:sz w:val="24"/>
        </w:rPr>
        <w:instrText xml:space="preserve"> HYPERLINK "https://www.sciencedirect.com/science/article/pii/S0304405X20300179" </w:instrText>
      </w:r>
      <w:r>
        <w:rPr>
          <w:rFonts w:ascii="Times New Roman" w:hAnsi="Times New Roman" w:cs="Times New Roman"/>
          <w:sz w:val="24"/>
        </w:rPr>
        <w:fldChar w:fldCharType="separate"/>
      </w:r>
      <w:r>
        <w:rPr>
          <w:rStyle w:val="13"/>
          <w:rFonts w:ascii="Times New Roman" w:hAnsi="Times New Roman" w:cs="Times New Roman"/>
          <w:sz w:val="24"/>
          <w:u w:val="none"/>
        </w:rPr>
        <w:t>The financing of local government in China: Stimulus loan wanes and shadow banking waxes</w:t>
      </w:r>
      <w:r>
        <w:rPr>
          <w:rFonts w:ascii="Times New Roman" w:hAnsi="Times New Roman" w:cs="Times New Roman"/>
          <w:sz w:val="24"/>
        </w:rPr>
        <w:fldChar w:fldCharType="end"/>
      </w:r>
      <w:r>
        <w:rPr>
          <w:rFonts w:ascii="Times New Roman" w:hAnsi="Times New Roman" w:cs="Times New Roman"/>
          <w:sz w:val="24"/>
        </w:rPr>
        <w:t>[J]. Journal of Financial Economics, 2020,</w:t>
      </w:r>
      <w:r>
        <w:rPr>
          <w:rFonts w:hint="eastAsia" w:ascii="Times New Roman" w:hAnsi="Times New Roman" w:cs="Times New Roman"/>
          <w:sz w:val="24"/>
        </w:rPr>
        <w:t xml:space="preserve"> </w:t>
      </w:r>
      <w:r>
        <w:rPr>
          <w:rFonts w:ascii="Times New Roman" w:hAnsi="Times New Roman" w:cs="Times New Roman"/>
          <w:sz w:val="24"/>
        </w:rPr>
        <w:t>137(1).</w:t>
      </w:r>
    </w:p>
    <w:p>
      <w:pPr>
        <w:spacing w:after="156" w:afterLines="50"/>
        <w:rPr>
          <w:rFonts w:ascii="Times New Roman" w:hAnsi="Times New Roman" w:cs="Times New Roman"/>
          <w:sz w:val="24"/>
        </w:rPr>
      </w:pPr>
      <w:r>
        <w:rPr>
          <w:rFonts w:ascii="Times New Roman" w:hAnsi="Times New Roman" w:cs="Times New Roman"/>
          <w:sz w:val="24"/>
        </w:rPr>
        <w:t>[15]</w:t>
      </w:r>
      <w:r>
        <w:rPr>
          <w:rFonts w:ascii="Times New Roman" w:hAnsi="Times New Roman" w:cs="Times New Roman"/>
          <w:sz w:val="24"/>
        </w:rPr>
        <w:tab/>
      </w:r>
      <w:r>
        <w:rPr>
          <w:rFonts w:ascii="Times New Roman" w:hAnsi="Times New Roman" w:cs="Times New Roman"/>
          <w:sz w:val="24"/>
        </w:rPr>
        <w:t xml:space="preserve">Adams S, Adedoyin F, Olaniran E, et al. </w:t>
      </w:r>
      <w:r>
        <w:rPr>
          <w:rFonts w:ascii="Times New Roman" w:hAnsi="Times New Roman" w:cs="Times New Roman"/>
          <w:sz w:val="24"/>
        </w:rPr>
        <w:fldChar w:fldCharType="begin"/>
      </w:r>
      <w:r>
        <w:rPr>
          <w:rFonts w:ascii="Times New Roman" w:hAnsi="Times New Roman" w:cs="Times New Roman"/>
          <w:sz w:val="24"/>
        </w:rPr>
        <w:instrText xml:space="preserve"> HYPERLINK "https://www.sciencedirect.com/science/article/pii/S0313592620304239" </w:instrText>
      </w:r>
      <w:r>
        <w:rPr>
          <w:rFonts w:ascii="Times New Roman" w:hAnsi="Times New Roman" w:cs="Times New Roman"/>
          <w:sz w:val="24"/>
        </w:rPr>
        <w:fldChar w:fldCharType="separate"/>
      </w:r>
      <w:r>
        <w:rPr>
          <w:rStyle w:val="13"/>
          <w:rFonts w:ascii="Times New Roman" w:hAnsi="Times New Roman" w:cs="Times New Roman"/>
          <w:sz w:val="24"/>
          <w:u w:val="none"/>
        </w:rPr>
        <w:t>Energy consumption, Economic Policy uncertainty and carbon emissions; causality evidence from resource rich economies</w:t>
      </w:r>
      <w:r>
        <w:rPr>
          <w:rFonts w:ascii="Times New Roman" w:hAnsi="Times New Roman" w:cs="Times New Roman"/>
          <w:sz w:val="24"/>
        </w:rPr>
        <w:fldChar w:fldCharType="end"/>
      </w:r>
      <w:r>
        <w:rPr>
          <w:rFonts w:ascii="Times New Roman" w:hAnsi="Times New Roman" w:cs="Times New Roman"/>
          <w:sz w:val="24"/>
        </w:rPr>
        <w:t>[J]. Economic Analysis and Policy, 2020,</w:t>
      </w:r>
      <w:r>
        <w:rPr>
          <w:rFonts w:hint="eastAsia" w:ascii="Times New Roman" w:hAnsi="Times New Roman" w:cs="Times New Roman"/>
          <w:sz w:val="24"/>
        </w:rPr>
        <w:t xml:space="preserve"> </w:t>
      </w:r>
      <w:r>
        <w:rPr>
          <w:rFonts w:ascii="Times New Roman" w:hAnsi="Times New Roman" w:cs="Times New Roman"/>
          <w:sz w:val="24"/>
        </w:rPr>
        <w:t>68.</w:t>
      </w:r>
    </w:p>
    <w:p>
      <w:pPr>
        <w:spacing w:after="156" w:afterLines="50"/>
        <w:rPr>
          <w:rFonts w:ascii="Times New Roman" w:hAnsi="Times New Roman" w:cs="Times New Roman"/>
          <w:sz w:val="24"/>
        </w:rPr>
      </w:pPr>
      <w:r>
        <w:rPr>
          <w:rFonts w:ascii="Times New Roman" w:hAnsi="Times New Roman" w:cs="Times New Roman"/>
          <w:sz w:val="24"/>
        </w:rPr>
        <w:t>[16]</w:t>
      </w:r>
      <w:r>
        <w:rPr>
          <w:rFonts w:ascii="Times New Roman" w:hAnsi="Times New Roman" w:cs="Times New Roman"/>
          <w:sz w:val="24"/>
        </w:rPr>
        <w:tab/>
      </w:r>
      <w:r>
        <w:rPr>
          <w:rFonts w:ascii="Times New Roman" w:hAnsi="Times New Roman" w:cs="Times New Roman"/>
          <w:sz w:val="24"/>
        </w:rPr>
        <w:t xml:space="preserve">Miranda-agrippino S, Rey H. </w:t>
      </w:r>
      <w:r>
        <w:rPr>
          <w:rFonts w:ascii="Times New Roman" w:hAnsi="Times New Roman" w:cs="Times New Roman"/>
          <w:sz w:val="24"/>
        </w:rPr>
        <w:fldChar w:fldCharType="begin"/>
      </w:r>
      <w:r>
        <w:rPr>
          <w:rFonts w:ascii="Times New Roman" w:hAnsi="Times New Roman" w:cs="Times New Roman"/>
          <w:sz w:val="24"/>
        </w:rPr>
        <w:instrText xml:space="preserve"> HYPERLINK "https://whu-primo.hosted.exlibrisgroup.com.cn/permalink/f/2e54i8/TN_cdi_crossref_primary_10_1093_restud_rdaa019" </w:instrText>
      </w:r>
      <w:r>
        <w:rPr>
          <w:rFonts w:ascii="Times New Roman" w:hAnsi="Times New Roman" w:cs="Times New Roman"/>
          <w:sz w:val="24"/>
        </w:rPr>
        <w:fldChar w:fldCharType="separate"/>
      </w:r>
      <w:r>
        <w:rPr>
          <w:rStyle w:val="13"/>
          <w:rFonts w:ascii="Times New Roman" w:hAnsi="Times New Roman" w:cs="Times New Roman"/>
          <w:sz w:val="24"/>
          <w:u w:val="none"/>
        </w:rPr>
        <w:t>US Monetary Policy and the Global Financial Cycle</w:t>
      </w:r>
      <w:r>
        <w:rPr>
          <w:rFonts w:ascii="Times New Roman" w:hAnsi="Times New Roman" w:cs="Times New Roman"/>
          <w:sz w:val="24"/>
        </w:rPr>
        <w:fldChar w:fldCharType="end"/>
      </w:r>
      <w:r>
        <w:rPr>
          <w:rFonts w:ascii="Times New Roman" w:hAnsi="Times New Roman" w:cs="Times New Roman"/>
          <w:sz w:val="24"/>
        </w:rPr>
        <w:t>[J]. Review of Economic Studies, 2020,</w:t>
      </w:r>
      <w:r>
        <w:rPr>
          <w:rFonts w:hint="eastAsia" w:ascii="Times New Roman" w:hAnsi="Times New Roman" w:cs="Times New Roman"/>
          <w:sz w:val="24"/>
        </w:rPr>
        <w:t xml:space="preserve"> </w:t>
      </w:r>
      <w:r>
        <w:rPr>
          <w:rFonts w:ascii="Times New Roman" w:hAnsi="Times New Roman" w:cs="Times New Roman"/>
          <w:sz w:val="24"/>
        </w:rPr>
        <w:t>87(6)</w:t>
      </w:r>
    </w:p>
    <w:p>
      <w:pPr>
        <w:spacing w:after="156" w:afterLines="50"/>
        <w:rPr>
          <w:rFonts w:ascii="Times New Roman" w:hAnsi="Times New Roman" w:cs="Times New Roman"/>
          <w:sz w:val="24"/>
        </w:rPr>
      </w:pPr>
      <w:r>
        <w:rPr>
          <w:rFonts w:ascii="Times New Roman" w:hAnsi="Times New Roman" w:cs="Times New Roman"/>
          <w:sz w:val="24"/>
        </w:rPr>
        <w:t>[17]</w:t>
      </w:r>
      <w:r>
        <w:rPr>
          <w:rFonts w:ascii="Times New Roman" w:hAnsi="Times New Roman" w:cs="Times New Roman"/>
          <w:sz w:val="24"/>
        </w:rPr>
        <w:tab/>
      </w:r>
      <w:r>
        <w:rPr>
          <w:rFonts w:ascii="Times New Roman" w:hAnsi="Times New Roman" w:cs="Times New Roman"/>
          <w:sz w:val="24"/>
        </w:rPr>
        <w:t xml:space="preserve">Altig D, Baker S, Barrero J M, et al. </w:t>
      </w:r>
      <w:r>
        <w:rPr>
          <w:rFonts w:ascii="Times New Roman" w:hAnsi="Times New Roman" w:cs="Times New Roman"/>
          <w:sz w:val="24"/>
        </w:rPr>
        <w:fldChar w:fldCharType="begin"/>
      </w:r>
      <w:r>
        <w:rPr>
          <w:rFonts w:ascii="Times New Roman" w:hAnsi="Times New Roman" w:cs="Times New Roman"/>
          <w:sz w:val="24"/>
        </w:rPr>
        <w:instrText xml:space="preserve"> HYPERLINK "https://www.sciencedirect.com/science/article/pii/S0047272720301389" </w:instrText>
      </w:r>
      <w:r>
        <w:rPr>
          <w:rFonts w:ascii="Times New Roman" w:hAnsi="Times New Roman" w:cs="Times New Roman"/>
          <w:sz w:val="24"/>
        </w:rPr>
        <w:fldChar w:fldCharType="separate"/>
      </w:r>
      <w:r>
        <w:rPr>
          <w:rStyle w:val="12"/>
          <w:rFonts w:ascii="Times New Roman" w:hAnsi="Times New Roman" w:cs="Times New Roman"/>
          <w:sz w:val="24"/>
          <w:u w:val="none"/>
        </w:rPr>
        <w:t>Economic uncertainty before and during the COVID-19 pandemic</w:t>
      </w:r>
      <w:r>
        <w:rPr>
          <w:rFonts w:ascii="Times New Roman" w:hAnsi="Times New Roman" w:cs="Times New Roman"/>
          <w:sz w:val="24"/>
        </w:rPr>
        <w:fldChar w:fldCharType="end"/>
      </w:r>
      <w:r>
        <w:rPr>
          <w:rFonts w:ascii="Times New Roman" w:hAnsi="Times New Roman" w:cs="Times New Roman"/>
          <w:sz w:val="24"/>
        </w:rPr>
        <w:t>[J]. Journal of Public Economics, 2020,</w:t>
      </w:r>
      <w:r>
        <w:rPr>
          <w:rFonts w:hint="eastAsia" w:ascii="Times New Roman" w:hAnsi="Times New Roman" w:cs="Times New Roman"/>
          <w:sz w:val="24"/>
        </w:rPr>
        <w:t xml:space="preserve"> </w:t>
      </w:r>
      <w:r>
        <w:rPr>
          <w:rFonts w:ascii="Times New Roman" w:hAnsi="Times New Roman" w:cs="Times New Roman"/>
          <w:sz w:val="24"/>
        </w:rPr>
        <w:t>191.</w:t>
      </w:r>
    </w:p>
    <w:p>
      <w:pPr>
        <w:spacing w:after="156" w:afterLines="50"/>
        <w:rPr>
          <w:rFonts w:ascii="Times New Roman" w:hAnsi="Times New Roman" w:cs="Times New Roman"/>
          <w:sz w:val="24"/>
        </w:rPr>
      </w:pPr>
      <w:r>
        <w:rPr>
          <w:rFonts w:ascii="Times New Roman" w:hAnsi="Times New Roman" w:cs="Times New Roman"/>
          <w:sz w:val="24"/>
        </w:rPr>
        <w:t>[18]</w:t>
      </w:r>
      <w:r>
        <w:rPr>
          <w:rFonts w:ascii="Times New Roman" w:hAnsi="Times New Roman" w:cs="Times New Roman"/>
          <w:sz w:val="24"/>
        </w:rPr>
        <w:tab/>
      </w:r>
      <w:r>
        <w:rPr>
          <w:rFonts w:ascii="Times New Roman" w:hAnsi="Times New Roman" w:cs="Times New Roman"/>
          <w:sz w:val="24"/>
        </w:rPr>
        <w:t xml:space="preserve">Jarocinski M, Karadi P. </w:t>
      </w:r>
      <w:r>
        <w:rPr>
          <w:rFonts w:ascii="Times New Roman" w:hAnsi="Times New Roman" w:cs="Times New Roman"/>
          <w:sz w:val="24"/>
        </w:rPr>
        <w:fldChar w:fldCharType="begin"/>
      </w:r>
      <w:r>
        <w:rPr>
          <w:rFonts w:ascii="Times New Roman" w:hAnsi="Times New Roman" w:cs="Times New Roman"/>
          <w:sz w:val="24"/>
        </w:rPr>
        <w:instrText xml:space="preserve"> HYPERLINK "https://www.aeaweb.org/articles?id=10.1257/mac.20180090" </w:instrText>
      </w:r>
      <w:r>
        <w:rPr>
          <w:rFonts w:ascii="Times New Roman" w:hAnsi="Times New Roman" w:cs="Times New Roman"/>
          <w:sz w:val="24"/>
        </w:rPr>
        <w:fldChar w:fldCharType="separate"/>
      </w:r>
      <w:r>
        <w:rPr>
          <w:rStyle w:val="13"/>
          <w:rFonts w:ascii="Times New Roman" w:hAnsi="Times New Roman" w:cs="Times New Roman"/>
          <w:sz w:val="24"/>
          <w:u w:val="none"/>
        </w:rPr>
        <w:t>Deconstructing Monetary Policy Surprises-The Role of Information Shocks</w:t>
      </w:r>
      <w:r>
        <w:rPr>
          <w:rFonts w:ascii="Times New Roman" w:hAnsi="Times New Roman" w:cs="Times New Roman"/>
          <w:sz w:val="24"/>
        </w:rPr>
        <w:fldChar w:fldCharType="end"/>
      </w:r>
      <w:r>
        <w:rPr>
          <w:rFonts w:ascii="Times New Roman" w:hAnsi="Times New Roman" w:cs="Times New Roman"/>
          <w:sz w:val="24"/>
        </w:rPr>
        <w:t>[J]. American Economic Journal</w:t>
      </w:r>
      <w:r>
        <w:rPr>
          <w:rFonts w:hint="eastAsia" w:ascii="Times New Roman" w:hAnsi="Times New Roman" w:cs="Times New Roman"/>
          <w:sz w:val="24"/>
          <w:lang w:eastAsia="zh-CN"/>
        </w:rPr>
        <w:t>：</w:t>
      </w:r>
      <w:r>
        <w:rPr>
          <w:rFonts w:ascii="Times New Roman" w:hAnsi="Times New Roman" w:cs="Times New Roman"/>
          <w:sz w:val="24"/>
        </w:rPr>
        <w:t>Macroeconomics, 2020,</w:t>
      </w:r>
      <w:r>
        <w:rPr>
          <w:rFonts w:hint="eastAsia" w:ascii="Times New Roman" w:hAnsi="Times New Roman" w:cs="Times New Roman"/>
          <w:sz w:val="24"/>
        </w:rPr>
        <w:t xml:space="preserve"> </w:t>
      </w:r>
      <w:r>
        <w:rPr>
          <w:rFonts w:ascii="Times New Roman" w:hAnsi="Times New Roman" w:cs="Times New Roman"/>
          <w:sz w:val="24"/>
        </w:rPr>
        <w:t>12(2).</w:t>
      </w:r>
    </w:p>
    <w:p>
      <w:pPr>
        <w:spacing w:after="156" w:afterLines="50" w:line="276" w:lineRule="auto"/>
        <w:jc w:val="left"/>
        <w:rPr>
          <w:rFonts w:ascii="Times New Roman" w:hAnsi="Times New Roman" w:eastAsia="宋体" w:cs="Times New Roman"/>
          <w:b/>
          <w:bCs/>
          <w:sz w:val="24"/>
        </w:rPr>
      </w:pPr>
    </w:p>
    <w:p>
      <w:pPr>
        <w:spacing w:after="156" w:afterLines="50" w:line="276" w:lineRule="auto"/>
        <w:ind w:firstLine="480" w:firstLineChars="200"/>
        <w:rPr>
          <w:rFonts w:ascii="宋体" w:hAnsi="宋体" w:eastAsia="宋体" w:cs="宋体"/>
          <w:sz w:val="24"/>
        </w:rPr>
      </w:pPr>
    </w:p>
    <w:p>
      <w:pPr>
        <w:spacing w:after="156" w:afterLines="50" w:line="276" w:lineRule="auto"/>
        <w:ind w:firstLine="480" w:firstLineChars="200"/>
        <w:rPr>
          <w:rFonts w:ascii="宋体" w:hAnsi="宋体" w:eastAsia="宋体" w:cs="宋体"/>
          <w:sz w:val="24"/>
        </w:rPr>
      </w:pPr>
    </w:p>
    <w:p>
      <w:pPr>
        <w:rPr>
          <w:rFonts w:ascii="楷体" w:hAnsi="楷体" w:eastAsia="楷体" w:cs="Times New Roman"/>
          <w:sz w:val="24"/>
        </w:rPr>
      </w:pPr>
    </w:p>
    <w:p>
      <w:pPr>
        <w:ind w:firstLine="480" w:firstLineChars="200"/>
        <w:rPr>
          <w:rFonts w:ascii="新宋体" w:hAnsi="新宋体" w:eastAsia="新宋体" w:cs="新宋体"/>
          <w:szCs w:val="21"/>
          <w:shd w:val="clear" w:color="auto" w:fill="A3A3A3"/>
        </w:rPr>
      </w:pPr>
      <w:r>
        <w:rPr>
          <w:rFonts w:hint="eastAsia" w:ascii="楷体" w:hAnsi="楷体" w:eastAsia="楷体" w:cs="Times New Roman"/>
          <w:sz w:val="24"/>
        </w:rPr>
        <w:t>因学科专业所限，难免出错，敬请批评指正；同时，也面向全校师生征集关注的领域和专题。联系方式：6</w:t>
      </w:r>
      <w:r>
        <w:rPr>
          <w:rFonts w:ascii="楷体" w:hAnsi="楷体" w:eastAsia="楷体" w:cs="Times New Roman"/>
          <w:sz w:val="24"/>
        </w:rPr>
        <w:t>875</w:t>
      </w:r>
      <w:r>
        <w:rPr>
          <w:rFonts w:hint="eastAsia" w:ascii="楷体" w:hAnsi="楷体" w:eastAsia="楷体" w:cs="Times New Roman"/>
          <w:sz w:val="24"/>
        </w:rPr>
        <w:t>4550，E</w:t>
      </w:r>
      <w:r>
        <w:rPr>
          <w:rFonts w:ascii="楷体" w:hAnsi="楷体" w:eastAsia="楷体" w:cs="Times New Roman"/>
          <w:sz w:val="24"/>
        </w:rPr>
        <w:t xml:space="preserve">mail: </w:t>
      </w:r>
      <w:r>
        <w:fldChar w:fldCharType="begin"/>
      </w:r>
      <w:r>
        <w:instrText xml:space="preserve"> HYPERLINK "mailto:" </w:instrText>
      </w:r>
      <w:r>
        <w:fldChar w:fldCharType="separate"/>
      </w:r>
      <w:r>
        <w:fldChar w:fldCharType="end"/>
      </w:r>
      <w:r>
        <w:t xml:space="preserve"> </w:t>
      </w:r>
      <w:r>
        <w:rPr>
          <w:rFonts w:ascii="Times New Roman" w:hAnsi="Times New Roman" w:eastAsia="新宋体" w:cs="新宋体"/>
          <w:szCs w:val="21"/>
        </w:rPr>
        <w:t>jflai</w:t>
      </w:r>
      <w:r>
        <w:rPr>
          <w:rFonts w:hint="eastAsia" w:ascii="Times New Roman" w:hAnsi="Times New Roman" w:eastAsia="新宋体" w:cs="新宋体"/>
          <w:szCs w:val="21"/>
        </w:rPr>
        <w:t>@lib.whu.edu.cn。</w:t>
      </w:r>
    </w:p>
    <w:p>
      <w:pPr>
        <w:jc w:val="right"/>
        <w:rPr>
          <w:rFonts w:ascii="Times New Roman" w:hAnsi="Times New Roman" w:cs="Times New Roman"/>
          <w:szCs w:val="21"/>
        </w:rPr>
      </w:pPr>
    </w:p>
    <w:p>
      <w:pPr>
        <w:wordWrap w:val="0"/>
        <w:jc w:val="right"/>
        <w:rPr>
          <w:rFonts w:ascii="Times New Roman" w:hAnsi="Times New Roman" w:cs="宋体"/>
          <w:sz w:val="24"/>
        </w:rPr>
      </w:pPr>
      <w:r>
        <w:rPr>
          <w:rFonts w:hint="eastAsia" w:ascii="Times New Roman" w:hAnsi="Times New Roman" w:cs="Times New Roman"/>
          <w:szCs w:val="21"/>
        </w:rPr>
        <w:t xml:space="preserve">编辑：杨红梅   </w:t>
      </w:r>
      <w:r>
        <w:rPr>
          <w:szCs w:val="21"/>
        </w:rPr>
        <w:t>审核：</w:t>
      </w:r>
      <w:r>
        <w:rPr>
          <w:rFonts w:hint="eastAsia"/>
          <w:szCs w:val="21"/>
        </w:rPr>
        <w:t>黄如花 刘颖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NotDisplayPageBoundaries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0ZjkxYmRkZTc5OGY0NTEzNGIwNDcxYjgxN2NkOWEifQ=="/>
  </w:docVars>
  <w:rsids>
    <w:rsidRoot w:val="00172A27"/>
    <w:rsid w:val="00013761"/>
    <w:rsid w:val="00015C5C"/>
    <w:rsid w:val="00032793"/>
    <w:rsid w:val="0004521C"/>
    <w:rsid w:val="00073388"/>
    <w:rsid w:val="000A4EA1"/>
    <w:rsid w:val="000A63B4"/>
    <w:rsid w:val="000E69C6"/>
    <w:rsid w:val="001217CF"/>
    <w:rsid w:val="00172A27"/>
    <w:rsid w:val="00174DED"/>
    <w:rsid w:val="0019494A"/>
    <w:rsid w:val="001B1C79"/>
    <w:rsid w:val="001C4950"/>
    <w:rsid w:val="001D0B1C"/>
    <w:rsid w:val="001D78BC"/>
    <w:rsid w:val="001F308B"/>
    <w:rsid w:val="00247C4F"/>
    <w:rsid w:val="002536ED"/>
    <w:rsid w:val="00267AE1"/>
    <w:rsid w:val="00274101"/>
    <w:rsid w:val="00292D83"/>
    <w:rsid w:val="002B5B26"/>
    <w:rsid w:val="002D0297"/>
    <w:rsid w:val="002E08B5"/>
    <w:rsid w:val="00322BBB"/>
    <w:rsid w:val="00351917"/>
    <w:rsid w:val="003B0022"/>
    <w:rsid w:val="003D7AA3"/>
    <w:rsid w:val="003F1F4E"/>
    <w:rsid w:val="00425438"/>
    <w:rsid w:val="00425FC8"/>
    <w:rsid w:val="00435C82"/>
    <w:rsid w:val="0044275F"/>
    <w:rsid w:val="004B4936"/>
    <w:rsid w:val="004E084E"/>
    <w:rsid w:val="00530D7D"/>
    <w:rsid w:val="005327FA"/>
    <w:rsid w:val="005457FA"/>
    <w:rsid w:val="00551CD8"/>
    <w:rsid w:val="00554221"/>
    <w:rsid w:val="00554C02"/>
    <w:rsid w:val="00555E46"/>
    <w:rsid w:val="00591CC1"/>
    <w:rsid w:val="005A01C7"/>
    <w:rsid w:val="005D7084"/>
    <w:rsid w:val="00603A7E"/>
    <w:rsid w:val="00611F9B"/>
    <w:rsid w:val="0062452F"/>
    <w:rsid w:val="00660D93"/>
    <w:rsid w:val="006C21F4"/>
    <w:rsid w:val="006D22DE"/>
    <w:rsid w:val="0071483A"/>
    <w:rsid w:val="00722F6F"/>
    <w:rsid w:val="00757939"/>
    <w:rsid w:val="007814A5"/>
    <w:rsid w:val="00785FD9"/>
    <w:rsid w:val="00793040"/>
    <w:rsid w:val="007C1C73"/>
    <w:rsid w:val="007D20E6"/>
    <w:rsid w:val="007D2A44"/>
    <w:rsid w:val="007E2E69"/>
    <w:rsid w:val="007E3E70"/>
    <w:rsid w:val="007E4FE2"/>
    <w:rsid w:val="007F7BA1"/>
    <w:rsid w:val="00811CFA"/>
    <w:rsid w:val="00847EB2"/>
    <w:rsid w:val="00853084"/>
    <w:rsid w:val="00860F13"/>
    <w:rsid w:val="0089523C"/>
    <w:rsid w:val="008B0FA4"/>
    <w:rsid w:val="008B3611"/>
    <w:rsid w:val="008B4044"/>
    <w:rsid w:val="008C2A22"/>
    <w:rsid w:val="008F7E53"/>
    <w:rsid w:val="0091284E"/>
    <w:rsid w:val="00915E3C"/>
    <w:rsid w:val="009313FE"/>
    <w:rsid w:val="00960F75"/>
    <w:rsid w:val="00970F3A"/>
    <w:rsid w:val="009718CF"/>
    <w:rsid w:val="00975750"/>
    <w:rsid w:val="009A5BA5"/>
    <w:rsid w:val="009B5CAA"/>
    <w:rsid w:val="009E3300"/>
    <w:rsid w:val="00A102FB"/>
    <w:rsid w:val="00A27114"/>
    <w:rsid w:val="00A5765A"/>
    <w:rsid w:val="00A62D0A"/>
    <w:rsid w:val="00A67C90"/>
    <w:rsid w:val="00A74409"/>
    <w:rsid w:val="00AC0837"/>
    <w:rsid w:val="00AD7379"/>
    <w:rsid w:val="00AD799F"/>
    <w:rsid w:val="00AE19A2"/>
    <w:rsid w:val="00AE48F9"/>
    <w:rsid w:val="00AE6378"/>
    <w:rsid w:val="00AF5C9E"/>
    <w:rsid w:val="00B147BB"/>
    <w:rsid w:val="00B36A09"/>
    <w:rsid w:val="00B412AA"/>
    <w:rsid w:val="00B53148"/>
    <w:rsid w:val="00B54217"/>
    <w:rsid w:val="00B73CCA"/>
    <w:rsid w:val="00B73F4C"/>
    <w:rsid w:val="00B95049"/>
    <w:rsid w:val="00BA49EA"/>
    <w:rsid w:val="00BB3943"/>
    <w:rsid w:val="00BB5903"/>
    <w:rsid w:val="00BD43B0"/>
    <w:rsid w:val="00BF44D1"/>
    <w:rsid w:val="00C34C48"/>
    <w:rsid w:val="00C574D1"/>
    <w:rsid w:val="00C61B8C"/>
    <w:rsid w:val="00C6228B"/>
    <w:rsid w:val="00C636A2"/>
    <w:rsid w:val="00C75B3E"/>
    <w:rsid w:val="00C90392"/>
    <w:rsid w:val="00CC0371"/>
    <w:rsid w:val="00CD27ED"/>
    <w:rsid w:val="00CF5FD3"/>
    <w:rsid w:val="00D0200F"/>
    <w:rsid w:val="00D21B4E"/>
    <w:rsid w:val="00D24D0D"/>
    <w:rsid w:val="00D43903"/>
    <w:rsid w:val="00D61032"/>
    <w:rsid w:val="00DA294F"/>
    <w:rsid w:val="00DB6783"/>
    <w:rsid w:val="00DB68EF"/>
    <w:rsid w:val="00DC2378"/>
    <w:rsid w:val="00DD209D"/>
    <w:rsid w:val="00DE473B"/>
    <w:rsid w:val="00DF451E"/>
    <w:rsid w:val="00E05F64"/>
    <w:rsid w:val="00E16108"/>
    <w:rsid w:val="00E27CFC"/>
    <w:rsid w:val="00E43C78"/>
    <w:rsid w:val="00E640F4"/>
    <w:rsid w:val="00E73360"/>
    <w:rsid w:val="00E7688E"/>
    <w:rsid w:val="00EF11D5"/>
    <w:rsid w:val="00F01333"/>
    <w:rsid w:val="00F505AA"/>
    <w:rsid w:val="00F64736"/>
    <w:rsid w:val="00F6596E"/>
    <w:rsid w:val="00FD0374"/>
    <w:rsid w:val="00FD5FC0"/>
    <w:rsid w:val="00FE2E87"/>
    <w:rsid w:val="01033BCF"/>
    <w:rsid w:val="010D39DF"/>
    <w:rsid w:val="01BF70CB"/>
    <w:rsid w:val="02041508"/>
    <w:rsid w:val="021520A3"/>
    <w:rsid w:val="022E2DE0"/>
    <w:rsid w:val="0263070D"/>
    <w:rsid w:val="03254111"/>
    <w:rsid w:val="03E31561"/>
    <w:rsid w:val="03FD2427"/>
    <w:rsid w:val="04A7171F"/>
    <w:rsid w:val="052E2BAE"/>
    <w:rsid w:val="05354D3A"/>
    <w:rsid w:val="05F069B7"/>
    <w:rsid w:val="07262986"/>
    <w:rsid w:val="07326629"/>
    <w:rsid w:val="07921036"/>
    <w:rsid w:val="08D163F0"/>
    <w:rsid w:val="08D20C77"/>
    <w:rsid w:val="0ACA6DD2"/>
    <w:rsid w:val="0B2D080B"/>
    <w:rsid w:val="0BFA03A9"/>
    <w:rsid w:val="0C0E324A"/>
    <w:rsid w:val="0C5D31C8"/>
    <w:rsid w:val="0C684A5B"/>
    <w:rsid w:val="0E7D377D"/>
    <w:rsid w:val="0E9A1FFC"/>
    <w:rsid w:val="0F1B5A35"/>
    <w:rsid w:val="0FA53115"/>
    <w:rsid w:val="1009181F"/>
    <w:rsid w:val="1110449F"/>
    <w:rsid w:val="12564664"/>
    <w:rsid w:val="13147CFE"/>
    <w:rsid w:val="13447702"/>
    <w:rsid w:val="13D73FBA"/>
    <w:rsid w:val="1407108F"/>
    <w:rsid w:val="140D6614"/>
    <w:rsid w:val="148A2272"/>
    <w:rsid w:val="14E85AB1"/>
    <w:rsid w:val="15227092"/>
    <w:rsid w:val="16E82FDF"/>
    <w:rsid w:val="17EC49C8"/>
    <w:rsid w:val="17F60079"/>
    <w:rsid w:val="18227EC4"/>
    <w:rsid w:val="18955C89"/>
    <w:rsid w:val="189F4CD4"/>
    <w:rsid w:val="18AA113F"/>
    <w:rsid w:val="195E00C2"/>
    <w:rsid w:val="198C787C"/>
    <w:rsid w:val="199355F7"/>
    <w:rsid w:val="1B2304CB"/>
    <w:rsid w:val="1B9635D3"/>
    <w:rsid w:val="1BA619BB"/>
    <w:rsid w:val="1BEF65FF"/>
    <w:rsid w:val="1C6350EA"/>
    <w:rsid w:val="1CFD1725"/>
    <w:rsid w:val="1D1E767C"/>
    <w:rsid w:val="1E3B7521"/>
    <w:rsid w:val="1E7B7FB2"/>
    <w:rsid w:val="1EBA39E3"/>
    <w:rsid w:val="20941096"/>
    <w:rsid w:val="20B37FC9"/>
    <w:rsid w:val="21250DD9"/>
    <w:rsid w:val="21783FD1"/>
    <w:rsid w:val="22DB73B2"/>
    <w:rsid w:val="2359079A"/>
    <w:rsid w:val="239B698C"/>
    <w:rsid w:val="247500F3"/>
    <w:rsid w:val="254400C3"/>
    <w:rsid w:val="25D72C40"/>
    <w:rsid w:val="264373D2"/>
    <w:rsid w:val="26FE2A31"/>
    <w:rsid w:val="26FE7491"/>
    <w:rsid w:val="27324EBA"/>
    <w:rsid w:val="27334F1C"/>
    <w:rsid w:val="2898283C"/>
    <w:rsid w:val="28CC40C5"/>
    <w:rsid w:val="29660D61"/>
    <w:rsid w:val="29B81FEB"/>
    <w:rsid w:val="29D866D7"/>
    <w:rsid w:val="29E00D77"/>
    <w:rsid w:val="2ABD761E"/>
    <w:rsid w:val="2ACC6297"/>
    <w:rsid w:val="2B745A56"/>
    <w:rsid w:val="2C4813FA"/>
    <w:rsid w:val="2C780866"/>
    <w:rsid w:val="2D777770"/>
    <w:rsid w:val="2E823A6D"/>
    <w:rsid w:val="2EFC4E63"/>
    <w:rsid w:val="2F605AE8"/>
    <w:rsid w:val="2F662CFC"/>
    <w:rsid w:val="31220CB4"/>
    <w:rsid w:val="32055592"/>
    <w:rsid w:val="32661EE2"/>
    <w:rsid w:val="329830F5"/>
    <w:rsid w:val="32F71EF4"/>
    <w:rsid w:val="336D7E5E"/>
    <w:rsid w:val="33806B8F"/>
    <w:rsid w:val="340815EB"/>
    <w:rsid w:val="34C226AB"/>
    <w:rsid w:val="34F63A29"/>
    <w:rsid w:val="34F671ED"/>
    <w:rsid w:val="35484F15"/>
    <w:rsid w:val="359E18CF"/>
    <w:rsid w:val="35A31A9F"/>
    <w:rsid w:val="36172996"/>
    <w:rsid w:val="364354D8"/>
    <w:rsid w:val="3755214E"/>
    <w:rsid w:val="37DF2977"/>
    <w:rsid w:val="390A7F46"/>
    <w:rsid w:val="39860754"/>
    <w:rsid w:val="3A2C3A4A"/>
    <w:rsid w:val="3B905637"/>
    <w:rsid w:val="3BB0038E"/>
    <w:rsid w:val="3BC80CA3"/>
    <w:rsid w:val="3BE5784E"/>
    <w:rsid w:val="3C2A18D3"/>
    <w:rsid w:val="3D0138A0"/>
    <w:rsid w:val="3F067EDF"/>
    <w:rsid w:val="3F132407"/>
    <w:rsid w:val="3F254B34"/>
    <w:rsid w:val="3F622BB6"/>
    <w:rsid w:val="3F943156"/>
    <w:rsid w:val="413E13B2"/>
    <w:rsid w:val="41432DC5"/>
    <w:rsid w:val="41603CFC"/>
    <w:rsid w:val="41ED1301"/>
    <w:rsid w:val="439D2E28"/>
    <w:rsid w:val="43A067AD"/>
    <w:rsid w:val="44173A9A"/>
    <w:rsid w:val="446009EF"/>
    <w:rsid w:val="44D96793"/>
    <w:rsid w:val="4530646E"/>
    <w:rsid w:val="45C15B8E"/>
    <w:rsid w:val="45C727B4"/>
    <w:rsid w:val="46510E51"/>
    <w:rsid w:val="46C81627"/>
    <w:rsid w:val="46DC7A1E"/>
    <w:rsid w:val="47A12EA0"/>
    <w:rsid w:val="483E7EAE"/>
    <w:rsid w:val="48DE1388"/>
    <w:rsid w:val="49FFBE53"/>
    <w:rsid w:val="4A140A55"/>
    <w:rsid w:val="4AAE6027"/>
    <w:rsid w:val="4BA45F7F"/>
    <w:rsid w:val="4C345F53"/>
    <w:rsid w:val="4CB85E47"/>
    <w:rsid w:val="4D000406"/>
    <w:rsid w:val="4D6A5E08"/>
    <w:rsid w:val="4D8F41A4"/>
    <w:rsid w:val="4DDF182A"/>
    <w:rsid w:val="4FF39EA3"/>
    <w:rsid w:val="507502AD"/>
    <w:rsid w:val="511D7B1D"/>
    <w:rsid w:val="520060DA"/>
    <w:rsid w:val="52460E92"/>
    <w:rsid w:val="531A288C"/>
    <w:rsid w:val="538C6D57"/>
    <w:rsid w:val="541E2E55"/>
    <w:rsid w:val="54633A3E"/>
    <w:rsid w:val="55337CE6"/>
    <w:rsid w:val="565229AE"/>
    <w:rsid w:val="573947D8"/>
    <w:rsid w:val="576C6581"/>
    <w:rsid w:val="57CC7F16"/>
    <w:rsid w:val="57F9341E"/>
    <w:rsid w:val="5BA741CE"/>
    <w:rsid w:val="5C4229A2"/>
    <w:rsid w:val="5C4C3385"/>
    <w:rsid w:val="5CFA6DAD"/>
    <w:rsid w:val="5D12350D"/>
    <w:rsid w:val="5ED63213"/>
    <w:rsid w:val="5F095458"/>
    <w:rsid w:val="5F5015B7"/>
    <w:rsid w:val="5FA11C32"/>
    <w:rsid w:val="603107FA"/>
    <w:rsid w:val="60DB6365"/>
    <w:rsid w:val="60EC2721"/>
    <w:rsid w:val="61174C1D"/>
    <w:rsid w:val="615F5198"/>
    <w:rsid w:val="61A5047E"/>
    <w:rsid w:val="61DB282D"/>
    <w:rsid w:val="62254D11"/>
    <w:rsid w:val="628272CD"/>
    <w:rsid w:val="629D0008"/>
    <w:rsid w:val="62A95521"/>
    <w:rsid w:val="63261F25"/>
    <w:rsid w:val="63A4002F"/>
    <w:rsid w:val="63ED4697"/>
    <w:rsid w:val="63F47690"/>
    <w:rsid w:val="64C71494"/>
    <w:rsid w:val="64E0666E"/>
    <w:rsid w:val="66180B03"/>
    <w:rsid w:val="665B101E"/>
    <w:rsid w:val="67170922"/>
    <w:rsid w:val="67AA79CD"/>
    <w:rsid w:val="67FD341E"/>
    <w:rsid w:val="691D7E51"/>
    <w:rsid w:val="69351307"/>
    <w:rsid w:val="69B715C1"/>
    <w:rsid w:val="69B85706"/>
    <w:rsid w:val="6A7B488A"/>
    <w:rsid w:val="6AEF34F2"/>
    <w:rsid w:val="6BEA3CBA"/>
    <w:rsid w:val="6BF23512"/>
    <w:rsid w:val="6C1228B6"/>
    <w:rsid w:val="6C3D44BA"/>
    <w:rsid w:val="6CA6099C"/>
    <w:rsid w:val="6CE97710"/>
    <w:rsid w:val="6D0A34F8"/>
    <w:rsid w:val="6D2E6669"/>
    <w:rsid w:val="6D672A04"/>
    <w:rsid w:val="6E1932D9"/>
    <w:rsid w:val="6E25523B"/>
    <w:rsid w:val="6EA05277"/>
    <w:rsid w:val="6FA36FAA"/>
    <w:rsid w:val="6FE15118"/>
    <w:rsid w:val="6FFF625F"/>
    <w:rsid w:val="70300138"/>
    <w:rsid w:val="7115428F"/>
    <w:rsid w:val="712A711C"/>
    <w:rsid w:val="71952625"/>
    <w:rsid w:val="72413072"/>
    <w:rsid w:val="72E008A1"/>
    <w:rsid w:val="744F39D5"/>
    <w:rsid w:val="751A1835"/>
    <w:rsid w:val="75416BF5"/>
    <w:rsid w:val="75464413"/>
    <w:rsid w:val="75EB52F7"/>
    <w:rsid w:val="75F233A1"/>
    <w:rsid w:val="76FF2D0F"/>
    <w:rsid w:val="77331634"/>
    <w:rsid w:val="77AA51D2"/>
    <w:rsid w:val="783E2325"/>
    <w:rsid w:val="787D4ED6"/>
    <w:rsid w:val="7A2B4567"/>
    <w:rsid w:val="7A571181"/>
    <w:rsid w:val="7A725036"/>
    <w:rsid w:val="7AAA11E4"/>
    <w:rsid w:val="7AC5601E"/>
    <w:rsid w:val="7B62561B"/>
    <w:rsid w:val="7B716BA2"/>
    <w:rsid w:val="7B9C2E71"/>
    <w:rsid w:val="7C260BD2"/>
    <w:rsid w:val="7C4411B5"/>
    <w:rsid w:val="7CFD37F2"/>
    <w:rsid w:val="7D4A2C12"/>
    <w:rsid w:val="7DA513CC"/>
    <w:rsid w:val="7F1A77B0"/>
    <w:rsid w:val="7F592D0E"/>
    <w:rsid w:val="7FCF7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19"/>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FollowedHyperlink"/>
    <w:basedOn w:val="10"/>
    <w:qFormat/>
    <w:uiPriority w:val="0"/>
    <w:rPr>
      <w:color w:val="800080"/>
      <w:u w:val="single"/>
    </w:rPr>
  </w:style>
  <w:style w:type="character" w:styleId="13">
    <w:name w:val="Hyperlink"/>
    <w:basedOn w:val="10"/>
    <w:qFormat/>
    <w:uiPriority w:val="0"/>
    <w:rPr>
      <w:color w:val="0000FF"/>
      <w:u w:val="single"/>
    </w:rPr>
  </w:style>
  <w:style w:type="character" w:styleId="14">
    <w:name w:val="annotation reference"/>
    <w:basedOn w:val="10"/>
    <w:qFormat/>
    <w:uiPriority w:val="0"/>
    <w:rPr>
      <w:sz w:val="21"/>
      <w:szCs w:val="21"/>
    </w:rPr>
  </w:style>
  <w:style w:type="character" w:customStyle="1" w:styleId="15">
    <w:name w:val="页眉 字符"/>
    <w:basedOn w:val="10"/>
    <w:link w:val="6"/>
    <w:qFormat/>
    <w:uiPriority w:val="0"/>
    <w:rPr>
      <w:rFonts w:asciiTheme="minorHAnsi" w:hAnsiTheme="minorHAnsi" w:eastAsiaTheme="minorEastAsia" w:cstheme="minorBidi"/>
      <w:kern w:val="2"/>
      <w:sz w:val="18"/>
      <w:szCs w:val="18"/>
    </w:rPr>
  </w:style>
  <w:style w:type="character" w:customStyle="1" w:styleId="16">
    <w:name w:val="页脚 字符"/>
    <w:basedOn w:val="10"/>
    <w:link w:val="5"/>
    <w:qFormat/>
    <w:uiPriority w:val="0"/>
    <w:rPr>
      <w:rFonts w:asciiTheme="minorHAnsi" w:hAnsiTheme="minorHAnsi" w:eastAsiaTheme="minorEastAsia" w:cstheme="minorBidi"/>
      <w:kern w:val="2"/>
      <w:sz w:val="18"/>
      <w:szCs w:val="18"/>
    </w:rPr>
  </w:style>
  <w:style w:type="character" w:customStyle="1" w:styleId="17">
    <w:name w:val="批注文字 字符"/>
    <w:basedOn w:val="10"/>
    <w:link w:val="3"/>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7"/>
    <w:qFormat/>
    <w:uiPriority w:val="0"/>
    <w:rPr>
      <w:rFonts w:asciiTheme="minorHAnsi" w:hAnsiTheme="minorHAnsi" w:eastAsiaTheme="minorEastAsia" w:cstheme="minorBidi"/>
      <w:b/>
      <w:bCs/>
      <w:kern w:val="2"/>
      <w:sz w:val="21"/>
      <w:szCs w:val="24"/>
    </w:rPr>
  </w:style>
  <w:style w:type="character" w:customStyle="1" w:styleId="19">
    <w:name w:val="批注框文本 字符"/>
    <w:basedOn w:val="10"/>
    <w:link w:val="4"/>
    <w:qFormat/>
    <w:uiPriority w:val="0"/>
    <w:rPr>
      <w:rFonts w:asciiTheme="minorHAnsi" w:hAnsiTheme="minorHAnsi" w:eastAsiaTheme="minorEastAsia" w:cstheme="minorBidi"/>
      <w:kern w:val="2"/>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1">
    <w:name w:val="未处理的提及1"/>
    <w:basedOn w:val="10"/>
    <w:semiHidden/>
    <w:unhideWhenUsed/>
    <w:qFormat/>
    <w:uiPriority w:val="99"/>
    <w:rPr>
      <w:color w:val="605E5C"/>
      <w:shd w:val="clear" w:color="auto" w:fill="E1DFDD"/>
    </w:rPr>
  </w:style>
  <w:style w:type="paragraph" w:customStyle="1" w:styleId="22">
    <w:name w:val="修订2"/>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2275</Words>
  <Characters>5487</Characters>
  <Lines>68</Lines>
  <Paragraphs>19</Paragraphs>
  <TotalTime>339</TotalTime>
  <ScaleCrop>false</ScaleCrop>
  <LinksUpToDate>false</LinksUpToDate>
  <CharactersWithSpaces>5995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2022-12-01T10:15:00Z</dcterms:created>
  <dc:creator>xiaoli</dc:creator>
  <cp:lastModifiedBy>杨红梅</cp:lastModifiedBy>
  <cp:lastPrinted>2022-12-02T07:52:00Z</cp:lastPrinted>
  <dcterms:modified xsi:type="dcterms:W3CDTF">2022-12-05T07:13:12Z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A1AF0E39BD6B4E60B751F3F14C75B582</vt:lpwstr>
  </property>
</Properties>
</file>